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4"/>
        <w:tblW w:w="10869" w:type="dxa"/>
        <w:tblLook w:val="04A0" w:firstRow="1" w:lastRow="0" w:firstColumn="1" w:lastColumn="0" w:noHBand="0" w:noVBand="1"/>
      </w:tblPr>
      <w:tblGrid>
        <w:gridCol w:w="3240"/>
        <w:gridCol w:w="3150"/>
        <w:gridCol w:w="4479"/>
      </w:tblGrid>
      <w:tr w:rsidR="007D3D9C" w:rsidRPr="00B86608" w:rsidTr="00333B89">
        <w:trPr>
          <w:trHeight w:val="1531"/>
        </w:trPr>
        <w:tc>
          <w:tcPr>
            <w:tcW w:w="3240" w:type="dxa"/>
          </w:tcPr>
          <w:p w:rsidR="007D3D9C" w:rsidRDefault="007D3D9C" w:rsidP="007D3D9C">
            <w:pPr>
              <w:jc w:val="right"/>
              <w:rPr>
                <w:rFonts w:ascii="Sylfaen" w:hAnsi="Sylfaen"/>
                <w:sz w:val="16"/>
                <w:szCs w:val="16"/>
              </w:rPr>
            </w:pPr>
          </w:p>
          <w:p w:rsidR="007D3D9C" w:rsidRPr="001A56F2" w:rsidRDefault="007D3D9C" w:rsidP="007D3D9C">
            <w:pPr>
              <w:jc w:val="right"/>
              <w:rPr>
                <w:rFonts w:ascii="Sylfaen" w:hAnsi="Sylfaen"/>
                <w:sz w:val="16"/>
                <w:szCs w:val="16"/>
              </w:rPr>
            </w:pPr>
            <w:r w:rsidRPr="001A56F2">
              <w:rPr>
                <w:rFonts w:ascii="Sylfaen" w:hAnsi="Sylfaen"/>
                <w:sz w:val="16"/>
                <w:szCs w:val="16"/>
              </w:rPr>
              <w:t>INTERNATIONAL</w:t>
            </w:r>
          </w:p>
          <w:p w:rsidR="007D3D9C" w:rsidRPr="001A56F2" w:rsidRDefault="007D3D9C" w:rsidP="007D3D9C">
            <w:pPr>
              <w:jc w:val="right"/>
              <w:rPr>
                <w:rFonts w:ascii="Sylfaen" w:hAnsi="Sylfaen"/>
                <w:sz w:val="16"/>
                <w:szCs w:val="16"/>
              </w:rPr>
            </w:pPr>
            <w:r w:rsidRPr="001A56F2">
              <w:rPr>
                <w:rFonts w:ascii="Sylfaen" w:hAnsi="Sylfaen"/>
                <w:sz w:val="16"/>
                <w:szCs w:val="16"/>
              </w:rPr>
              <w:t xml:space="preserve"> SCIENCE AND TECHNOLOGY CENTER</w:t>
            </w:r>
          </w:p>
          <w:p w:rsidR="007D3D9C" w:rsidRPr="001A56F2" w:rsidRDefault="007D3D9C" w:rsidP="007D3D9C">
            <w:pPr>
              <w:jc w:val="right"/>
              <w:rPr>
                <w:rFonts w:ascii="Sylfaen" w:hAnsi="Sylfaen"/>
                <w:sz w:val="16"/>
                <w:szCs w:val="16"/>
              </w:rPr>
            </w:pPr>
            <w:r w:rsidRPr="001A56F2">
              <w:rPr>
                <w:rFonts w:ascii="Sylfaen" w:hAnsi="Sylfaen"/>
                <w:sz w:val="16"/>
                <w:szCs w:val="16"/>
              </w:rPr>
              <w:t>Nazarbayev University, Block 39</w:t>
            </w:r>
          </w:p>
          <w:p w:rsidR="007D3D9C" w:rsidRPr="001A56F2" w:rsidRDefault="007D3D9C" w:rsidP="007D3D9C">
            <w:pPr>
              <w:jc w:val="right"/>
              <w:rPr>
                <w:rFonts w:ascii="Sylfaen" w:hAnsi="Sylfaen"/>
                <w:sz w:val="16"/>
                <w:szCs w:val="16"/>
              </w:rPr>
            </w:pPr>
            <w:r w:rsidRPr="001A56F2">
              <w:rPr>
                <w:rFonts w:ascii="Sylfaen" w:hAnsi="Sylfaen"/>
                <w:sz w:val="16"/>
                <w:szCs w:val="16"/>
              </w:rPr>
              <w:t xml:space="preserve">53 Kabanbay Batyr Ave </w:t>
            </w:r>
          </w:p>
          <w:p w:rsidR="007D3D9C" w:rsidRPr="001A56F2" w:rsidRDefault="007D3D9C" w:rsidP="007D3D9C">
            <w:pPr>
              <w:jc w:val="right"/>
              <w:rPr>
                <w:rFonts w:ascii="Sylfaen" w:hAnsi="Sylfaen"/>
                <w:sz w:val="16"/>
                <w:szCs w:val="16"/>
              </w:rPr>
            </w:pPr>
            <w:r w:rsidRPr="001A56F2">
              <w:rPr>
                <w:rFonts w:ascii="Sylfaen" w:hAnsi="Sylfaen"/>
                <w:sz w:val="16"/>
                <w:szCs w:val="16"/>
              </w:rPr>
              <w:t>Astana, Kazakhstan 010000</w:t>
            </w:r>
          </w:p>
          <w:p w:rsidR="007D3D9C" w:rsidRPr="001A56F2" w:rsidRDefault="007D3D9C" w:rsidP="007D3D9C">
            <w:pPr>
              <w:jc w:val="right"/>
              <w:rPr>
                <w:rFonts w:ascii="Sylfaen" w:hAnsi="Sylfaen"/>
                <w:sz w:val="16"/>
                <w:szCs w:val="16"/>
                <w:lang w:val="de-DE"/>
              </w:rPr>
            </w:pPr>
            <w:r w:rsidRPr="001A56F2">
              <w:rPr>
                <w:rFonts w:ascii="Sylfaen" w:hAnsi="Sylfaen"/>
                <w:sz w:val="16"/>
                <w:szCs w:val="16"/>
                <w:lang w:val="de-DE"/>
              </w:rPr>
              <w:t>Tel:+7(7172) 76-95-34</w:t>
            </w:r>
          </w:p>
          <w:p w:rsidR="007D3D9C" w:rsidRPr="001A56F2" w:rsidRDefault="007D3D9C" w:rsidP="007D3D9C">
            <w:pPr>
              <w:jc w:val="right"/>
              <w:rPr>
                <w:rFonts w:ascii="Sylfaen" w:hAnsi="Sylfaen"/>
                <w:sz w:val="16"/>
                <w:szCs w:val="16"/>
                <w:lang w:val="de-DE"/>
              </w:rPr>
            </w:pPr>
            <w:r w:rsidRPr="001A56F2">
              <w:rPr>
                <w:rFonts w:ascii="Sylfaen" w:hAnsi="Sylfaen"/>
                <w:sz w:val="16"/>
                <w:szCs w:val="16"/>
                <w:lang w:val="de-DE"/>
              </w:rPr>
              <w:t xml:space="preserve">E-mail: </w:t>
            </w:r>
            <w:r w:rsidRPr="001A56F2">
              <w:rPr>
                <w:rFonts w:ascii="Sylfaen" w:hAnsi="Sylfaen"/>
                <w:sz w:val="16"/>
                <w:szCs w:val="16"/>
                <w:u w:val="single"/>
                <w:lang w:val="de-DE" w:eastAsia="zh-CN"/>
              </w:rPr>
              <w:t>istcinfo@istc.int</w:t>
            </w:r>
          </w:p>
          <w:p w:rsidR="007D3D9C" w:rsidRPr="00050B89" w:rsidRDefault="007D3D9C" w:rsidP="007D3D9C">
            <w:pPr>
              <w:jc w:val="right"/>
              <w:rPr>
                <w:rFonts w:ascii="Sylfaen" w:hAnsi="Sylfaen"/>
                <w:sz w:val="16"/>
                <w:szCs w:val="16"/>
              </w:rPr>
            </w:pPr>
            <w:hyperlink r:id="rId8" w:history="1">
              <w:r w:rsidRPr="001A56F2">
                <w:rPr>
                  <w:rStyle w:val="Hyperlink"/>
                  <w:rFonts w:ascii="Sylfaen" w:hAnsi="Sylfaen"/>
                  <w:sz w:val="16"/>
                  <w:szCs w:val="16"/>
                </w:rPr>
                <w:t>http://www.istc.int</w:t>
              </w:r>
            </w:hyperlink>
          </w:p>
        </w:tc>
        <w:tc>
          <w:tcPr>
            <w:tcW w:w="3150" w:type="dxa"/>
          </w:tcPr>
          <w:p w:rsidR="007D3D9C" w:rsidRPr="001A56F2" w:rsidRDefault="007D3D9C" w:rsidP="007D3D9C">
            <w:pPr>
              <w:jc w:val="center"/>
            </w:pPr>
            <w:r>
              <w:rPr>
                <w:noProof/>
                <w:lang w:eastAsia="en-US"/>
              </w:rPr>
              <w:drawing>
                <wp:inline distT="0" distB="0" distL="0" distR="0">
                  <wp:extent cx="1266825" cy="1371600"/>
                  <wp:effectExtent l="0" t="0" r="9525" b="0"/>
                  <wp:docPr id="4" name="Picture 1" descr="E:\shayakhmetov\Documents\ISTC\logo\ISTC logo_calibri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yakhmetov\Documents\ISTC\logo\ISTC logo_calibri bold.jpg"/>
                          <pic:cNvPicPr>
                            <a:picLocks noChangeAspect="1" noChangeArrowheads="1"/>
                          </pic:cNvPicPr>
                        </pic:nvPicPr>
                        <pic:blipFill>
                          <a:blip r:embed="rId9">
                            <a:extLst>
                              <a:ext uri="{28A0092B-C50C-407E-A947-70E740481C1C}">
                                <a14:useLocalDpi xmlns:a14="http://schemas.microsoft.com/office/drawing/2010/main" val="0"/>
                              </a:ext>
                            </a:extLst>
                          </a:blip>
                          <a:srcRect l="32855" t="20528" r="34753" b="15912"/>
                          <a:stretch>
                            <a:fillRect/>
                          </a:stretch>
                        </pic:blipFill>
                        <pic:spPr bwMode="auto">
                          <a:xfrm>
                            <a:off x="0" y="0"/>
                            <a:ext cx="1266825" cy="1371600"/>
                          </a:xfrm>
                          <a:prstGeom prst="rect">
                            <a:avLst/>
                          </a:prstGeom>
                          <a:noFill/>
                          <a:ln>
                            <a:noFill/>
                          </a:ln>
                        </pic:spPr>
                      </pic:pic>
                    </a:graphicData>
                  </a:graphic>
                </wp:inline>
              </w:drawing>
            </w:r>
          </w:p>
        </w:tc>
        <w:tc>
          <w:tcPr>
            <w:tcW w:w="4479" w:type="dxa"/>
          </w:tcPr>
          <w:p w:rsidR="007D3D9C" w:rsidRDefault="007D3D9C" w:rsidP="007D3D9C">
            <w:pPr>
              <w:rPr>
                <w:rFonts w:ascii="Sylfaen" w:hAnsi="Sylfaen"/>
                <w:sz w:val="16"/>
                <w:szCs w:val="16"/>
              </w:rPr>
            </w:pPr>
          </w:p>
          <w:p w:rsidR="007D3D9C" w:rsidRPr="001A56F2" w:rsidRDefault="007D3D9C" w:rsidP="007D3D9C">
            <w:pPr>
              <w:rPr>
                <w:rFonts w:ascii="Sylfaen" w:hAnsi="Sylfaen"/>
                <w:sz w:val="16"/>
                <w:szCs w:val="16"/>
                <w:lang w:val="ru-RU"/>
              </w:rPr>
            </w:pPr>
            <w:r w:rsidRPr="001A56F2">
              <w:rPr>
                <w:rFonts w:ascii="Sylfaen" w:hAnsi="Sylfaen"/>
                <w:sz w:val="16"/>
                <w:szCs w:val="16"/>
                <w:lang w:val="ru-RU"/>
              </w:rPr>
              <w:t xml:space="preserve">МЕЖДУНАРОДНЫЙ </w:t>
            </w:r>
          </w:p>
          <w:p w:rsidR="007D3D9C" w:rsidRPr="001A56F2" w:rsidRDefault="007D3D9C" w:rsidP="007D3D9C">
            <w:pPr>
              <w:rPr>
                <w:rFonts w:ascii="Sylfaen" w:hAnsi="Sylfaen"/>
                <w:sz w:val="16"/>
                <w:szCs w:val="16"/>
                <w:lang w:val="ru-RU"/>
              </w:rPr>
            </w:pPr>
            <w:r w:rsidRPr="001A56F2">
              <w:rPr>
                <w:rFonts w:ascii="Sylfaen" w:hAnsi="Sylfaen"/>
                <w:sz w:val="16"/>
                <w:szCs w:val="16"/>
                <w:lang w:val="ru-RU"/>
              </w:rPr>
              <w:t>НАУЧНО-ТЕХНИЧЕСКИЙ ЦЕНТР</w:t>
            </w:r>
          </w:p>
          <w:p w:rsidR="007D3D9C" w:rsidRPr="001A56F2" w:rsidRDefault="007D3D9C" w:rsidP="007D3D9C">
            <w:pPr>
              <w:tabs>
                <w:tab w:val="right" w:pos="3046"/>
              </w:tabs>
              <w:rPr>
                <w:rFonts w:ascii="Sylfaen" w:hAnsi="Sylfaen"/>
                <w:sz w:val="16"/>
                <w:szCs w:val="16"/>
                <w:lang w:val="ru-RU"/>
              </w:rPr>
            </w:pPr>
            <w:r w:rsidRPr="001A56F2">
              <w:rPr>
                <w:rFonts w:ascii="Sylfaen" w:hAnsi="Sylfaen"/>
                <w:sz w:val="16"/>
                <w:szCs w:val="16"/>
                <w:lang w:val="ru-RU"/>
              </w:rPr>
              <w:t>Назарбаев Университет, Блок 39</w:t>
            </w:r>
            <w:r w:rsidRPr="001A56F2">
              <w:rPr>
                <w:rFonts w:ascii="Sylfaen" w:hAnsi="Sylfaen"/>
                <w:sz w:val="16"/>
                <w:szCs w:val="16"/>
                <w:lang w:val="ru-RU"/>
              </w:rPr>
              <w:tab/>
            </w:r>
          </w:p>
          <w:p w:rsidR="007D3D9C" w:rsidRPr="001A56F2" w:rsidRDefault="007D3D9C" w:rsidP="007D3D9C">
            <w:pPr>
              <w:rPr>
                <w:rFonts w:ascii="Sylfaen" w:hAnsi="Sylfaen"/>
                <w:sz w:val="16"/>
                <w:szCs w:val="16"/>
                <w:lang w:val="ru-RU"/>
              </w:rPr>
            </w:pPr>
            <w:r w:rsidRPr="001A56F2">
              <w:rPr>
                <w:rFonts w:ascii="Sylfaen" w:hAnsi="Sylfaen"/>
                <w:sz w:val="16"/>
                <w:szCs w:val="16"/>
                <w:lang w:val="ru-RU"/>
              </w:rPr>
              <w:t>Проспект Кабанбай батыра, 53</w:t>
            </w:r>
          </w:p>
          <w:p w:rsidR="007D3D9C" w:rsidRPr="001A56F2" w:rsidRDefault="007D3D9C" w:rsidP="007D3D9C">
            <w:pPr>
              <w:rPr>
                <w:rFonts w:ascii="Sylfaen" w:hAnsi="Sylfaen"/>
                <w:sz w:val="16"/>
                <w:szCs w:val="16"/>
                <w:lang w:val="ru-RU"/>
              </w:rPr>
            </w:pPr>
            <w:r w:rsidRPr="001A56F2">
              <w:rPr>
                <w:rFonts w:ascii="Sylfaen" w:hAnsi="Sylfaen"/>
                <w:sz w:val="16"/>
                <w:szCs w:val="16"/>
                <w:lang w:val="ru-RU"/>
              </w:rPr>
              <w:t>г.Астана, Республика Казахстан  010000</w:t>
            </w:r>
          </w:p>
          <w:p w:rsidR="007D3D9C" w:rsidRPr="001A56F2" w:rsidRDefault="007D3D9C" w:rsidP="007D3D9C">
            <w:pPr>
              <w:rPr>
                <w:rFonts w:ascii="Sylfaen" w:hAnsi="Sylfaen"/>
                <w:sz w:val="16"/>
                <w:szCs w:val="16"/>
                <w:lang w:val="ru-RU"/>
              </w:rPr>
            </w:pPr>
            <w:r w:rsidRPr="001A56F2">
              <w:rPr>
                <w:rFonts w:ascii="Sylfaen" w:hAnsi="Sylfaen"/>
                <w:sz w:val="16"/>
                <w:szCs w:val="16"/>
              </w:rPr>
              <w:t>Te</w:t>
            </w:r>
            <w:r w:rsidRPr="001A56F2">
              <w:rPr>
                <w:rFonts w:ascii="Sylfaen" w:hAnsi="Sylfaen"/>
                <w:sz w:val="16"/>
                <w:szCs w:val="16"/>
                <w:lang w:val="ru-RU"/>
              </w:rPr>
              <w:t>л: +7 (7172) 76-95-34</w:t>
            </w:r>
          </w:p>
          <w:p w:rsidR="007D3D9C" w:rsidRPr="001A56F2" w:rsidRDefault="007D3D9C" w:rsidP="007D3D9C">
            <w:pPr>
              <w:rPr>
                <w:rFonts w:ascii="Sylfaen" w:hAnsi="Sylfaen"/>
                <w:sz w:val="16"/>
                <w:szCs w:val="16"/>
                <w:lang w:val="de-DE"/>
              </w:rPr>
            </w:pPr>
            <w:r w:rsidRPr="001A56F2">
              <w:rPr>
                <w:rFonts w:ascii="Sylfaen" w:hAnsi="Sylfaen"/>
                <w:sz w:val="16"/>
                <w:szCs w:val="16"/>
                <w:lang w:val="de-DE"/>
              </w:rPr>
              <w:t xml:space="preserve">E-mail: </w:t>
            </w:r>
            <w:r w:rsidRPr="001A56F2">
              <w:rPr>
                <w:rFonts w:ascii="Sylfaen" w:hAnsi="Sylfaen"/>
                <w:sz w:val="16"/>
                <w:szCs w:val="16"/>
                <w:u w:val="single"/>
                <w:lang w:val="de-DE" w:eastAsia="zh-CN"/>
              </w:rPr>
              <w:t>istcinfo@istc.int</w:t>
            </w:r>
          </w:p>
          <w:p w:rsidR="007D3D9C" w:rsidRPr="00050B89" w:rsidRDefault="007D3D9C" w:rsidP="007D3D9C">
            <w:pPr>
              <w:rPr>
                <w:rFonts w:ascii="Sylfaen" w:hAnsi="Sylfaen"/>
                <w:sz w:val="16"/>
                <w:szCs w:val="16"/>
                <w:lang w:val="de-DE"/>
              </w:rPr>
            </w:pPr>
            <w:hyperlink r:id="rId10" w:history="1">
              <w:r w:rsidRPr="001A56F2">
                <w:rPr>
                  <w:rStyle w:val="Hyperlink"/>
                  <w:rFonts w:ascii="Sylfaen" w:hAnsi="Sylfaen"/>
                  <w:sz w:val="16"/>
                  <w:szCs w:val="16"/>
                  <w:lang w:val="de-DE"/>
                </w:rPr>
                <w:t>http://www.istc.int</w:t>
              </w:r>
            </w:hyperlink>
            <w:r w:rsidRPr="001A56F2">
              <w:rPr>
                <w:rFonts w:ascii="Sylfaen" w:hAnsi="Sylfaen"/>
                <w:sz w:val="16"/>
                <w:szCs w:val="16"/>
                <w:lang w:val="de-DE"/>
              </w:rPr>
              <w:t xml:space="preserve"> </w:t>
            </w:r>
          </w:p>
        </w:tc>
      </w:tr>
    </w:tbl>
    <w:tbl>
      <w:tblPr>
        <w:tblW w:w="0" w:type="auto"/>
        <w:jc w:val="center"/>
        <w:tblLayout w:type="fixed"/>
        <w:tblLook w:val="0000" w:firstRow="0" w:lastRow="0" w:firstColumn="0" w:lastColumn="0" w:noHBand="0" w:noVBand="0"/>
      </w:tblPr>
      <w:tblGrid>
        <w:gridCol w:w="2518"/>
        <w:gridCol w:w="3260"/>
        <w:gridCol w:w="2746"/>
      </w:tblGrid>
      <w:tr w:rsidR="006C6EDB">
        <w:tblPrEx>
          <w:tblCellMar>
            <w:top w:w="0" w:type="dxa"/>
            <w:bottom w:w="0" w:type="dxa"/>
          </w:tblCellMar>
        </w:tblPrEx>
        <w:trPr>
          <w:cantSplit/>
          <w:jc w:val="center"/>
        </w:trPr>
        <w:tc>
          <w:tcPr>
            <w:tcW w:w="2518" w:type="dxa"/>
          </w:tcPr>
          <w:p w:rsidR="006C6EDB" w:rsidRDefault="006C6EDB">
            <w:pPr>
              <w:jc w:val="right"/>
              <w:rPr>
                <w:sz w:val="16"/>
              </w:rPr>
            </w:pPr>
          </w:p>
        </w:tc>
        <w:tc>
          <w:tcPr>
            <w:tcW w:w="3260" w:type="dxa"/>
          </w:tcPr>
          <w:p w:rsidR="006C6EDB" w:rsidRDefault="006C6EDB">
            <w:pPr>
              <w:jc w:val="center"/>
            </w:pPr>
          </w:p>
        </w:tc>
        <w:tc>
          <w:tcPr>
            <w:tcW w:w="2746" w:type="dxa"/>
          </w:tcPr>
          <w:p w:rsidR="006C6EDB" w:rsidRDefault="006C6EDB">
            <w:pPr>
              <w:rPr>
                <w:sz w:val="16"/>
              </w:rPr>
            </w:pPr>
          </w:p>
        </w:tc>
      </w:tr>
    </w:tbl>
    <w:p w:rsidR="006C6EDB" w:rsidRDefault="006C6EDB"/>
    <w:p w:rsidR="006C6EDB" w:rsidRDefault="006C6EDB">
      <w:pPr>
        <w:jc w:val="center"/>
        <w:rPr>
          <w:b/>
        </w:rPr>
      </w:pPr>
      <w:r>
        <w:rPr>
          <w:b/>
        </w:rPr>
        <w:t>PROCEDURES FOR INTRODUCTION OF AN ISTC PARTNER</w:t>
      </w:r>
    </w:p>
    <w:p w:rsidR="006C6EDB" w:rsidRDefault="006C6EDB"/>
    <w:p w:rsidR="006C6EDB" w:rsidRDefault="006C6EDB">
      <w:r>
        <w:t>The procedures below describe the process by which Partners may be approved as participants in ISTC activities.</w:t>
      </w:r>
    </w:p>
    <w:p w:rsidR="006C6EDB" w:rsidRDefault="006C6EDB"/>
    <w:p w:rsidR="006C6EDB" w:rsidRDefault="006C6EDB">
      <w:pPr>
        <w:ind w:left="360" w:hanging="360"/>
      </w:pPr>
      <w:r>
        <w:t>1.</w:t>
      </w:r>
      <w:r>
        <w:tab/>
        <w:t xml:space="preserve">Any Party to the ISTC Agreement may introduce a Partner to the Board for consideration.  Partners may be governmental, inter-governmental, or non-governmental (including the private sector, foundations, academic and scientific institutions) organizations.  </w:t>
      </w:r>
    </w:p>
    <w:p w:rsidR="006C6EDB" w:rsidRDefault="006C6EDB">
      <w:pPr>
        <w:ind w:left="360" w:hanging="360"/>
      </w:pPr>
    </w:p>
    <w:p w:rsidR="006C6EDB" w:rsidRDefault="006C6EDB">
      <w:pPr>
        <w:ind w:left="360" w:hanging="360"/>
      </w:pPr>
      <w:r>
        <w:t>2.</w:t>
      </w:r>
      <w:r>
        <w:tab/>
        <w:t>When a Party introduces a Partner, it will provide to the Board through the Secretariat:</w:t>
      </w:r>
    </w:p>
    <w:p w:rsidR="006C6EDB" w:rsidRDefault="006C6EDB"/>
    <w:p w:rsidR="006C6EDB" w:rsidRDefault="006C6EDB" w:rsidP="00FB3CDF">
      <w:pPr>
        <w:numPr>
          <w:ilvl w:val="0"/>
          <w:numId w:val="1"/>
        </w:numPr>
        <w:ind w:left="924" w:hanging="357"/>
      </w:pPr>
      <w:r>
        <w:t>Information on the Partner's background, activities, and objectives;</w:t>
      </w:r>
    </w:p>
    <w:p w:rsidR="006C6EDB" w:rsidRDefault="006C6EDB" w:rsidP="00FB3CDF">
      <w:pPr>
        <w:numPr>
          <w:ilvl w:val="0"/>
          <w:numId w:val="1"/>
        </w:numPr>
        <w:ind w:left="924" w:hanging="357"/>
      </w:pPr>
      <w:r>
        <w:t>A statement from the Partner that it accepts the terms and conditions of the Agreement and Statute;</w:t>
      </w:r>
    </w:p>
    <w:p w:rsidR="006C6EDB" w:rsidRDefault="006C6EDB" w:rsidP="00FB3CDF">
      <w:pPr>
        <w:numPr>
          <w:ilvl w:val="0"/>
          <w:numId w:val="1"/>
        </w:numPr>
        <w:ind w:left="924" w:hanging="357"/>
      </w:pPr>
      <w:r>
        <w:t>A statement from the Partner that accepts Principles for Partner Participation in ISTC activities and the Conditions for Approval of Partner Project Proposals;</w:t>
      </w:r>
    </w:p>
    <w:p w:rsidR="006C6EDB" w:rsidRDefault="006C6EDB" w:rsidP="00FB3CDF">
      <w:pPr>
        <w:numPr>
          <w:ilvl w:val="0"/>
          <w:numId w:val="1"/>
        </w:numPr>
        <w:ind w:left="924" w:hanging="357"/>
      </w:pPr>
      <w:r>
        <w:t>Information on the Partner’s estimated plans and areas of ISTC activity of special interest, including any summaries of projects planned or being developed that would be funded through ISTC.</w:t>
      </w:r>
    </w:p>
    <w:p w:rsidR="006C6EDB" w:rsidRDefault="006C6EDB">
      <w:pPr>
        <w:ind w:left="360" w:hanging="360"/>
      </w:pPr>
    </w:p>
    <w:p w:rsidR="006C6EDB" w:rsidRDefault="006C6EDB">
      <w:pPr>
        <w:ind w:left="360" w:hanging="360"/>
      </w:pPr>
      <w:r>
        <w:t>3.</w:t>
      </w:r>
      <w:r>
        <w:tab/>
        <w:t>The Secretariat will circulate information provided by the sponsoring Party on the Partner immediately to the members of the Governing Board for consideration.</w:t>
      </w:r>
    </w:p>
    <w:p w:rsidR="006C6EDB" w:rsidRDefault="006C6EDB">
      <w:pPr>
        <w:ind w:left="360" w:hanging="360"/>
      </w:pPr>
    </w:p>
    <w:p w:rsidR="006C6EDB" w:rsidRDefault="006C6EDB">
      <w:pPr>
        <w:ind w:left="360" w:hanging="360"/>
      </w:pPr>
      <w:r>
        <w:t>4.</w:t>
      </w:r>
      <w:r>
        <w:tab/>
        <w:t>A Partner is considered approved and may begin to participate in ISTC activities 30 calendar days after the members of the Governing Board have received through the Secretariat information on the Partner, providing no objection has been raised by the members of the Governing Board.</w:t>
      </w:r>
    </w:p>
    <w:p w:rsidR="006C6EDB" w:rsidRDefault="006C6EDB">
      <w:pPr>
        <w:ind w:left="360" w:hanging="360"/>
      </w:pPr>
    </w:p>
    <w:p w:rsidR="006C6EDB" w:rsidRDefault="006C6EDB">
      <w:pPr>
        <w:ind w:left="360" w:hanging="360"/>
      </w:pPr>
      <w:r>
        <w:t>5.</w:t>
      </w:r>
      <w:r>
        <w:tab/>
        <w:t>The Executive Director informs the Partner through the sponsoring Party when the 30-day period has expired and Partner activity may begin.  In the event of questions or objections, views of individual Board members will not be disclosed.</w:t>
      </w:r>
    </w:p>
    <w:p w:rsidR="006C6EDB" w:rsidRDefault="006C6EDB">
      <w:pPr>
        <w:ind w:left="360" w:hanging="360"/>
      </w:pPr>
    </w:p>
    <w:p w:rsidR="006C6EDB" w:rsidRDefault="006C6EDB">
      <w:r>
        <w:rPr>
          <w:b/>
        </w:rPr>
        <w:t>ISTC-Partner Memorandum of Agreement (MOA)</w:t>
      </w:r>
    </w:p>
    <w:p w:rsidR="006C6EDB" w:rsidRDefault="006C6EDB">
      <w:r>
        <w:t>Partners will execute a memorandum of agreement with the ISTC defining the framework for participation, including the terms and conditions of its financing and support pursuant to ISTC Agreement Article VII.</w:t>
      </w:r>
    </w:p>
    <w:p w:rsidR="006C6EDB" w:rsidRDefault="006C6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rPr>
          <w:b/>
        </w:rPr>
      </w:pPr>
      <w:r>
        <w:br w:type="page"/>
      </w:r>
    </w:p>
    <w:tbl>
      <w:tblPr>
        <w:tblpPr w:leftFromText="180" w:rightFromText="180" w:vertAnchor="page" w:horzAnchor="margin" w:tblpY="454"/>
        <w:tblW w:w="10869" w:type="dxa"/>
        <w:tblLook w:val="04A0" w:firstRow="1" w:lastRow="0" w:firstColumn="1" w:lastColumn="0" w:noHBand="0" w:noVBand="1"/>
      </w:tblPr>
      <w:tblGrid>
        <w:gridCol w:w="3240"/>
        <w:gridCol w:w="3150"/>
        <w:gridCol w:w="4479"/>
      </w:tblGrid>
      <w:tr w:rsidR="007D3D9C" w:rsidRPr="00B86608" w:rsidTr="00333B89">
        <w:trPr>
          <w:trHeight w:val="1531"/>
        </w:trPr>
        <w:tc>
          <w:tcPr>
            <w:tcW w:w="3240" w:type="dxa"/>
          </w:tcPr>
          <w:p w:rsidR="007D3D9C" w:rsidRDefault="007D3D9C" w:rsidP="007D3D9C">
            <w:pPr>
              <w:jc w:val="right"/>
              <w:rPr>
                <w:rFonts w:ascii="Sylfaen" w:hAnsi="Sylfaen"/>
                <w:sz w:val="16"/>
                <w:szCs w:val="16"/>
              </w:rPr>
            </w:pPr>
          </w:p>
          <w:p w:rsidR="007D3D9C" w:rsidRPr="001A56F2" w:rsidRDefault="007D3D9C" w:rsidP="007D3D9C">
            <w:pPr>
              <w:jc w:val="right"/>
              <w:rPr>
                <w:rFonts w:ascii="Sylfaen" w:hAnsi="Sylfaen"/>
                <w:sz w:val="16"/>
                <w:szCs w:val="16"/>
              </w:rPr>
            </w:pPr>
            <w:r w:rsidRPr="001A56F2">
              <w:rPr>
                <w:rFonts w:ascii="Sylfaen" w:hAnsi="Sylfaen"/>
                <w:sz w:val="16"/>
                <w:szCs w:val="16"/>
              </w:rPr>
              <w:t>INTERNATIONAL</w:t>
            </w:r>
          </w:p>
          <w:p w:rsidR="007D3D9C" w:rsidRPr="001A56F2" w:rsidRDefault="007D3D9C" w:rsidP="007D3D9C">
            <w:pPr>
              <w:jc w:val="right"/>
              <w:rPr>
                <w:rFonts w:ascii="Sylfaen" w:hAnsi="Sylfaen"/>
                <w:sz w:val="16"/>
                <w:szCs w:val="16"/>
              </w:rPr>
            </w:pPr>
            <w:r w:rsidRPr="001A56F2">
              <w:rPr>
                <w:rFonts w:ascii="Sylfaen" w:hAnsi="Sylfaen"/>
                <w:sz w:val="16"/>
                <w:szCs w:val="16"/>
              </w:rPr>
              <w:t xml:space="preserve"> SCIENCE AND TECHNOLOGY CENTER</w:t>
            </w:r>
          </w:p>
          <w:p w:rsidR="007D3D9C" w:rsidRPr="001A56F2" w:rsidRDefault="007D3D9C" w:rsidP="007D3D9C">
            <w:pPr>
              <w:jc w:val="right"/>
              <w:rPr>
                <w:rFonts w:ascii="Sylfaen" w:hAnsi="Sylfaen"/>
                <w:sz w:val="16"/>
                <w:szCs w:val="16"/>
              </w:rPr>
            </w:pPr>
            <w:r w:rsidRPr="001A56F2">
              <w:rPr>
                <w:rFonts w:ascii="Sylfaen" w:hAnsi="Sylfaen"/>
                <w:sz w:val="16"/>
                <w:szCs w:val="16"/>
              </w:rPr>
              <w:t>Nazarbayev University, Block 39</w:t>
            </w:r>
          </w:p>
          <w:p w:rsidR="007D3D9C" w:rsidRPr="001A56F2" w:rsidRDefault="007D3D9C" w:rsidP="007D3D9C">
            <w:pPr>
              <w:jc w:val="right"/>
              <w:rPr>
                <w:rFonts w:ascii="Sylfaen" w:hAnsi="Sylfaen"/>
                <w:sz w:val="16"/>
                <w:szCs w:val="16"/>
              </w:rPr>
            </w:pPr>
            <w:r w:rsidRPr="001A56F2">
              <w:rPr>
                <w:rFonts w:ascii="Sylfaen" w:hAnsi="Sylfaen"/>
                <w:sz w:val="16"/>
                <w:szCs w:val="16"/>
              </w:rPr>
              <w:t xml:space="preserve">53 Kabanbay Batyr Ave </w:t>
            </w:r>
          </w:p>
          <w:p w:rsidR="007D3D9C" w:rsidRPr="001A56F2" w:rsidRDefault="007D3D9C" w:rsidP="007D3D9C">
            <w:pPr>
              <w:jc w:val="right"/>
              <w:rPr>
                <w:rFonts w:ascii="Sylfaen" w:hAnsi="Sylfaen"/>
                <w:sz w:val="16"/>
                <w:szCs w:val="16"/>
              </w:rPr>
            </w:pPr>
            <w:r w:rsidRPr="001A56F2">
              <w:rPr>
                <w:rFonts w:ascii="Sylfaen" w:hAnsi="Sylfaen"/>
                <w:sz w:val="16"/>
                <w:szCs w:val="16"/>
              </w:rPr>
              <w:t>Astana, Kazakhstan 010000</w:t>
            </w:r>
          </w:p>
          <w:p w:rsidR="007D3D9C" w:rsidRPr="001A56F2" w:rsidRDefault="007D3D9C" w:rsidP="007D3D9C">
            <w:pPr>
              <w:jc w:val="right"/>
              <w:rPr>
                <w:rFonts w:ascii="Sylfaen" w:hAnsi="Sylfaen"/>
                <w:sz w:val="16"/>
                <w:szCs w:val="16"/>
                <w:lang w:val="de-DE"/>
              </w:rPr>
            </w:pPr>
            <w:r w:rsidRPr="001A56F2">
              <w:rPr>
                <w:rFonts w:ascii="Sylfaen" w:hAnsi="Sylfaen"/>
                <w:sz w:val="16"/>
                <w:szCs w:val="16"/>
                <w:lang w:val="de-DE"/>
              </w:rPr>
              <w:t>Tel:+7(7172) 76-95-34</w:t>
            </w:r>
          </w:p>
          <w:p w:rsidR="007D3D9C" w:rsidRPr="001A56F2" w:rsidRDefault="007D3D9C" w:rsidP="007D3D9C">
            <w:pPr>
              <w:jc w:val="right"/>
              <w:rPr>
                <w:rFonts w:ascii="Sylfaen" w:hAnsi="Sylfaen"/>
                <w:sz w:val="16"/>
                <w:szCs w:val="16"/>
                <w:lang w:val="de-DE"/>
              </w:rPr>
            </w:pPr>
            <w:r w:rsidRPr="001A56F2">
              <w:rPr>
                <w:rFonts w:ascii="Sylfaen" w:hAnsi="Sylfaen"/>
                <w:sz w:val="16"/>
                <w:szCs w:val="16"/>
                <w:lang w:val="de-DE"/>
              </w:rPr>
              <w:t xml:space="preserve">E-mail: </w:t>
            </w:r>
            <w:r w:rsidRPr="001A56F2">
              <w:rPr>
                <w:rFonts w:ascii="Sylfaen" w:hAnsi="Sylfaen"/>
                <w:sz w:val="16"/>
                <w:szCs w:val="16"/>
                <w:u w:val="single"/>
                <w:lang w:val="de-DE" w:eastAsia="zh-CN"/>
              </w:rPr>
              <w:t>istcinfo@istc.int</w:t>
            </w:r>
          </w:p>
          <w:p w:rsidR="007D3D9C" w:rsidRPr="00050B89" w:rsidRDefault="007D3D9C" w:rsidP="007D3D9C">
            <w:pPr>
              <w:jc w:val="right"/>
              <w:rPr>
                <w:rFonts w:ascii="Sylfaen" w:hAnsi="Sylfaen"/>
                <w:sz w:val="16"/>
                <w:szCs w:val="16"/>
              </w:rPr>
            </w:pPr>
            <w:hyperlink r:id="rId11" w:history="1">
              <w:r w:rsidRPr="001A56F2">
                <w:rPr>
                  <w:rStyle w:val="Hyperlink"/>
                  <w:rFonts w:ascii="Sylfaen" w:hAnsi="Sylfaen"/>
                  <w:sz w:val="16"/>
                  <w:szCs w:val="16"/>
                </w:rPr>
                <w:t>http://www.istc.int</w:t>
              </w:r>
            </w:hyperlink>
          </w:p>
        </w:tc>
        <w:tc>
          <w:tcPr>
            <w:tcW w:w="3150" w:type="dxa"/>
          </w:tcPr>
          <w:p w:rsidR="007D3D9C" w:rsidRPr="001A56F2" w:rsidRDefault="007D3D9C" w:rsidP="007D3D9C">
            <w:pPr>
              <w:jc w:val="center"/>
            </w:pPr>
            <w:r>
              <w:rPr>
                <w:noProof/>
                <w:lang w:eastAsia="en-US"/>
              </w:rPr>
              <w:drawing>
                <wp:inline distT="0" distB="0" distL="0" distR="0">
                  <wp:extent cx="1266825" cy="1371600"/>
                  <wp:effectExtent l="0" t="0" r="9525" b="0"/>
                  <wp:docPr id="9" name="Picture 1" descr="E:\shayakhmetov\Documents\ISTC\logo\ISTC logo_calibri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yakhmetov\Documents\ISTC\logo\ISTC logo_calibri bold.jpg"/>
                          <pic:cNvPicPr>
                            <a:picLocks noChangeAspect="1" noChangeArrowheads="1"/>
                          </pic:cNvPicPr>
                        </pic:nvPicPr>
                        <pic:blipFill>
                          <a:blip r:embed="rId9">
                            <a:extLst>
                              <a:ext uri="{28A0092B-C50C-407E-A947-70E740481C1C}">
                                <a14:useLocalDpi xmlns:a14="http://schemas.microsoft.com/office/drawing/2010/main" val="0"/>
                              </a:ext>
                            </a:extLst>
                          </a:blip>
                          <a:srcRect l="32855" t="20528" r="34753" b="15912"/>
                          <a:stretch>
                            <a:fillRect/>
                          </a:stretch>
                        </pic:blipFill>
                        <pic:spPr bwMode="auto">
                          <a:xfrm>
                            <a:off x="0" y="0"/>
                            <a:ext cx="1266825" cy="1371600"/>
                          </a:xfrm>
                          <a:prstGeom prst="rect">
                            <a:avLst/>
                          </a:prstGeom>
                          <a:noFill/>
                          <a:ln>
                            <a:noFill/>
                          </a:ln>
                        </pic:spPr>
                      </pic:pic>
                    </a:graphicData>
                  </a:graphic>
                </wp:inline>
              </w:drawing>
            </w:r>
          </w:p>
        </w:tc>
        <w:tc>
          <w:tcPr>
            <w:tcW w:w="4479" w:type="dxa"/>
          </w:tcPr>
          <w:p w:rsidR="007D3D9C" w:rsidRDefault="007D3D9C" w:rsidP="007D3D9C">
            <w:pPr>
              <w:rPr>
                <w:rFonts w:ascii="Sylfaen" w:hAnsi="Sylfaen"/>
                <w:sz w:val="16"/>
                <w:szCs w:val="16"/>
              </w:rPr>
            </w:pPr>
          </w:p>
          <w:p w:rsidR="007D3D9C" w:rsidRPr="001A56F2" w:rsidRDefault="007D3D9C" w:rsidP="007D3D9C">
            <w:pPr>
              <w:rPr>
                <w:rFonts w:ascii="Sylfaen" w:hAnsi="Sylfaen"/>
                <w:sz w:val="16"/>
                <w:szCs w:val="16"/>
                <w:lang w:val="ru-RU"/>
              </w:rPr>
            </w:pPr>
            <w:r w:rsidRPr="001A56F2">
              <w:rPr>
                <w:rFonts w:ascii="Sylfaen" w:hAnsi="Sylfaen"/>
                <w:sz w:val="16"/>
                <w:szCs w:val="16"/>
                <w:lang w:val="ru-RU"/>
              </w:rPr>
              <w:t xml:space="preserve">МЕЖДУНАРОДНЫЙ </w:t>
            </w:r>
          </w:p>
          <w:p w:rsidR="007D3D9C" w:rsidRPr="001A56F2" w:rsidRDefault="007D3D9C" w:rsidP="007D3D9C">
            <w:pPr>
              <w:rPr>
                <w:rFonts w:ascii="Sylfaen" w:hAnsi="Sylfaen"/>
                <w:sz w:val="16"/>
                <w:szCs w:val="16"/>
                <w:lang w:val="ru-RU"/>
              </w:rPr>
            </w:pPr>
            <w:r w:rsidRPr="001A56F2">
              <w:rPr>
                <w:rFonts w:ascii="Sylfaen" w:hAnsi="Sylfaen"/>
                <w:sz w:val="16"/>
                <w:szCs w:val="16"/>
                <w:lang w:val="ru-RU"/>
              </w:rPr>
              <w:t>НАУЧНО-ТЕХНИЧЕСКИЙ ЦЕНТР</w:t>
            </w:r>
          </w:p>
          <w:p w:rsidR="007D3D9C" w:rsidRPr="001A56F2" w:rsidRDefault="007D3D9C" w:rsidP="007D3D9C">
            <w:pPr>
              <w:tabs>
                <w:tab w:val="right" w:pos="3046"/>
              </w:tabs>
              <w:rPr>
                <w:rFonts w:ascii="Sylfaen" w:hAnsi="Sylfaen"/>
                <w:sz w:val="16"/>
                <w:szCs w:val="16"/>
                <w:lang w:val="ru-RU"/>
              </w:rPr>
            </w:pPr>
            <w:r w:rsidRPr="001A56F2">
              <w:rPr>
                <w:rFonts w:ascii="Sylfaen" w:hAnsi="Sylfaen"/>
                <w:sz w:val="16"/>
                <w:szCs w:val="16"/>
                <w:lang w:val="ru-RU"/>
              </w:rPr>
              <w:t>Назарбаев Университет, Блок 39</w:t>
            </w:r>
            <w:r w:rsidRPr="001A56F2">
              <w:rPr>
                <w:rFonts w:ascii="Sylfaen" w:hAnsi="Sylfaen"/>
                <w:sz w:val="16"/>
                <w:szCs w:val="16"/>
                <w:lang w:val="ru-RU"/>
              </w:rPr>
              <w:tab/>
            </w:r>
          </w:p>
          <w:p w:rsidR="007D3D9C" w:rsidRPr="001A56F2" w:rsidRDefault="007D3D9C" w:rsidP="007D3D9C">
            <w:pPr>
              <w:rPr>
                <w:rFonts w:ascii="Sylfaen" w:hAnsi="Sylfaen"/>
                <w:sz w:val="16"/>
                <w:szCs w:val="16"/>
                <w:lang w:val="ru-RU"/>
              </w:rPr>
            </w:pPr>
            <w:r w:rsidRPr="001A56F2">
              <w:rPr>
                <w:rFonts w:ascii="Sylfaen" w:hAnsi="Sylfaen"/>
                <w:sz w:val="16"/>
                <w:szCs w:val="16"/>
                <w:lang w:val="ru-RU"/>
              </w:rPr>
              <w:t>Проспект Кабанбай батыра, 53</w:t>
            </w:r>
          </w:p>
          <w:p w:rsidR="007D3D9C" w:rsidRPr="001A56F2" w:rsidRDefault="007D3D9C" w:rsidP="007D3D9C">
            <w:pPr>
              <w:rPr>
                <w:rFonts w:ascii="Sylfaen" w:hAnsi="Sylfaen"/>
                <w:sz w:val="16"/>
                <w:szCs w:val="16"/>
                <w:lang w:val="ru-RU"/>
              </w:rPr>
            </w:pPr>
            <w:r w:rsidRPr="001A56F2">
              <w:rPr>
                <w:rFonts w:ascii="Sylfaen" w:hAnsi="Sylfaen"/>
                <w:sz w:val="16"/>
                <w:szCs w:val="16"/>
                <w:lang w:val="ru-RU"/>
              </w:rPr>
              <w:t>г.Астана, Республика Казахстан  010000</w:t>
            </w:r>
          </w:p>
          <w:p w:rsidR="007D3D9C" w:rsidRPr="001A56F2" w:rsidRDefault="007D3D9C" w:rsidP="007D3D9C">
            <w:pPr>
              <w:rPr>
                <w:rFonts w:ascii="Sylfaen" w:hAnsi="Sylfaen"/>
                <w:sz w:val="16"/>
                <w:szCs w:val="16"/>
                <w:lang w:val="ru-RU"/>
              </w:rPr>
            </w:pPr>
            <w:r w:rsidRPr="001A56F2">
              <w:rPr>
                <w:rFonts w:ascii="Sylfaen" w:hAnsi="Sylfaen"/>
                <w:sz w:val="16"/>
                <w:szCs w:val="16"/>
              </w:rPr>
              <w:t>Te</w:t>
            </w:r>
            <w:r w:rsidRPr="001A56F2">
              <w:rPr>
                <w:rFonts w:ascii="Sylfaen" w:hAnsi="Sylfaen"/>
                <w:sz w:val="16"/>
                <w:szCs w:val="16"/>
                <w:lang w:val="ru-RU"/>
              </w:rPr>
              <w:t>л: +7 (7172) 76-95-34</w:t>
            </w:r>
          </w:p>
          <w:p w:rsidR="007D3D9C" w:rsidRPr="001A56F2" w:rsidRDefault="007D3D9C" w:rsidP="007D3D9C">
            <w:pPr>
              <w:rPr>
                <w:rFonts w:ascii="Sylfaen" w:hAnsi="Sylfaen"/>
                <w:sz w:val="16"/>
                <w:szCs w:val="16"/>
                <w:lang w:val="de-DE"/>
              </w:rPr>
            </w:pPr>
            <w:r w:rsidRPr="001A56F2">
              <w:rPr>
                <w:rFonts w:ascii="Sylfaen" w:hAnsi="Sylfaen"/>
                <w:sz w:val="16"/>
                <w:szCs w:val="16"/>
                <w:lang w:val="de-DE"/>
              </w:rPr>
              <w:t xml:space="preserve">E-mail: </w:t>
            </w:r>
            <w:r w:rsidRPr="001A56F2">
              <w:rPr>
                <w:rFonts w:ascii="Sylfaen" w:hAnsi="Sylfaen"/>
                <w:sz w:val="16"/>
                <w:szCs w:val="16"/>
                <w:u w:val="single"/>
                <w:lang w:val="de-DE" w:eastAsia="zh-CN"/>
              </w:rPr>
              <w:t>istcinfo@istc.int</w:t>
            </w:r>
          </w:p>
          <w:p w:rsidR="007D3D9C" w:rsidRPr="00050B89" w:rsidRDefault="007D3D9C" w:rsidP="007D3D9C">
            <w:pPr>
              <w:rPr>
                <w:rFonts w:ascii="Sylfaen" w:hAnsi="Sylfaen"/>
                <w:sz w:val="16"/>
                <w:szCs w:val="16"/>
                <w:lang w:val="de-DE"/>
              </w:rPr>
            </w:pPr>
            <w:hyperlink r:id="rId12" w:history="1">
              <w:r w:rsidRPr="001A56F2">
                <w:rPr>
                  <w:rStyle w:val="Hyperlink"/>
                  <w:rFonts w:ascii="Sylfaen" w:hAnsi="Sylfaen"/>
                  <w:sz w:val="16"/>
                  <w:szCs w:val="16"/>
                  <w:lang w:val="de-DE"/>
                </w:rPr>
                <w:t>http://www.istc.int</w:t>
              </w:r>
            </w:hyperlink>
            <w:r w:rsidRPr="001A56F2">
              <w:rPr>
                <w:rFonts w:ascii="Sylfaen" w:hAnsi="Sylfaen"/>
                <w:sz w:val="16"/>
                <w:szCs w:val="16"/>
                <w:lang w:val="de-DE"/>
              </w:rPr>
              <w:t xml:space="preserve"> </w:t>
            </w:r>
          </w:p>
        </w:tc>
      </w:tr>
    </w:tbl>
    <w:tbl>
      <w:tblPr>
        <w:tblW w:w="0" w:type="auto"/>
        <w:jc w:val="center"/>
        <w:tblLayout w:type="fixed"/>
        <w:tblLook w:val="0000" w:firstRow="0" w:lastRow="0" w:firstColumn="0" w:lastColumn="0" w:noHBand="0" w:noVBand="0"/>
      </w:tblPr>
      <w:tblGrid>
        <w:gridCol w:w="2518"/>
        <w:gridCol w:w="3260"/>
        <w:gridCol w:w="2746"/>
      </w:tblGrid>
      <w:tr w:rsidR="006C6EDB">
        <w:tblPrEx>
          <w:tblCellMar>
            <w:top w:w="0" w:type="dxa"/>
            <w:bottom w:w="0" w:type="dxa"/>
          </w:tblCellMar>
        </w:tblPrEx>
        <w:trPr>
          <w:cantSplit/>
          <w:jc w:val="center"/>
        </w:trPr>
        <w:tc>
          <w:tcPr>
            <w:tcW w:w="2518" w:type="dxa"/>
          </w:tcPr>
          <w:p w:rsidR="006C6EDB" w:rsidRDefault="006C6EDB" w:rsidP="007D3D9C">
            <w:pPr>
              <w:jc w:val="center"/>
              <w:rPr>
                <w:sz w:val="16"/>
              </w:rPr>
            </w:pPr>
          </w:p>
        </w:tc>
        <w:tc>
          <w:tcPr>
            <w:tcW w:w="3260" w:type="dxa"/>
          </w:tcPr>
          <w:p w:rsidR="006C6EDB" w:rsidRDefault="006C6EDB">
            <w:pPr>
              <w:jc w:val="center"/>
            </w:pPr>
            <w:bookmarkStart w:id="0" w:name="_GoBack"/>
            <w:bookmarkEnd w:id="0"/>
          </w:p>
        </w:tc>
        <w:tc>
          <w:tcPr>
            <w:tcW w:w="2746" w:type="dxa"/>
          </w:tcPr>
          <w:p w:rsidR="006C6EDB" w:rsidRDefault="006C6EDB">
            <w:pPr>
              <w:rPr>
                <w:sz w:val="16"/>
              </w:rPr>
            </w:pPr>
          </w:p>
        </w:tc>
      </w:tr>
    </w:tbl>
    <w:p w:rsidR="006C6EDB" w:rsidRDefault="006C6EDB"/>
    <w:p w:rsidR="006C6EDB" w:rsidRDefault="006C6EDB"/>
    <w:p w:rsidR="006C6EDB" w:rsidRDefault="006C6EDB">
      <w:pPr>
        <w:tabs>
          <w:tab w:val="right" w:pos="9072"/>
        </w:tabs>
        <w:suppressAutoHyphens/>
        <w:rPr>
          <w:b/>
        </w:rPr>
      </w:pPr>
      <w:r>
        <w:rPr>
          <w:b/>
        </w:rPr>
        <w:t>ISTC</w:t>
      </w:r>
      <w:r>
        <w:rPr>
          <w:b/>
        </w:rPr>
        <w:tab/>
        <w:t>PR-GB</w:t>
      </w:r>
    </w:p>
    <w:p w:rsidR="006C6EDB" w:rsidRDefault="006C6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rPr>
          <w:b/>
        </w:rPr>
      </w:pPr>
    </w:p>
    <w:p w:rsidR="006C6EDB" w:rsidRDefault="006C6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rPr>
          <w:b/>
          <w:spacing w:val="-2"/>
        </w:rPr>
      </w:pPr>
    </w:p>
    <w:p w:rsidR="006C6EDB" w:rsidRDefault="006C6EDB">
      <w:pPr>
        <w:pBdr>
          <w:bottom w:val="single" w:sz="12" w:space="12" w:color="auto"/>
        </w:pBdr>
        <w:jc w:val="center"/>
        <w:rPr>
          <w:b/>
          <w:sz w:val="24"/>
        </w:rPr>
      </w:pPr>
      <w:r>
        <w:rPr>
          <w:b/>
          <w:spacing w:val="-2"/>
          <w:sz w:val="24"/>
        </w:rPr>
        <w:t>GOVERNING BOARD RECORD OF DECISION</w:t>
      </w:r>
    </w:p>
    <w:p w:rsidR="006C6EDB" w:rsidRDefault="006C6E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rPr>
          <w:b/>
          <w:spacing w:val="-2"/>
        </w:rPr>
      </w:pPr>
    </w:p>
    <w:p w:rsidR="006C6EDB" w:rsidRDefault="006C6EDB">
      <w:pPr>
        <w:rPr>
          <w:b/>
        </w:rPr>
      </w:pPr>
    </w:p>
    <w:p w:rsidR="006C6EDB" w:rsidRDefault="006C6EDB">
      <w:pPr>
        <w:jc w:val="left"/>
        <w:rPr>
          <w:b/>
        </w:rPr>
      </w:pPr>
      <w:r>
        <w:rPr>
          <w:b/>
        </w:rPr>
        <w:t>Proposed Partner:</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C6EDB" w:rsidRDefault="006C6EDB">
      <w:pPr>
        <w:jc w:val="left"/>
        <w:rPr>
          <w:b/>
        </w:rPr>
      </w:pPr>
    </w:p>
    <w:p w:rsidR="006C6EDB" w:rsidRDefault="006C6EDB">
      <w:pPr>
        <w:jc w:val="left"/>
        <w:rPr>
          <w:b/>
        </w:rPr>
      </w:pPr>
      <w:r>
        <w:rPr>
          <w:b/>
        </w:rPr>
        <w:t>Proposing Party:</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C6EDB" w:rsidRDefault="006C6EDB">
      <w:pPr>
        <w:jc w:val="left"/>
        <w:rPr>
          <w:b/>
        </w:rPr>
      </w:pPr>
    </w:p>
    <w:p w:rsidR="006C6EDB" w:rsidRDefault="006C6EDB">
      <w:pPr>
        <w:jc w:val="left"/>
        <w:rPr>
          <w:b/>
        </w:rPr>
      </w:pPr>
    </w:p>
    <w:p w:rsidR="006C6EDB" w:rsidRDefault="006C6EDB">
      <w:pPr>
        <w:jc w:val="left"/>
        <w:rPr>
          <w:b/>
        </w:rPr>
      </w:pPr>
      <w:r>
        <w:rPr>
          <w:b/>
        </w:rPr>
        <w:t xml:space="preserve">The ISTC Governing Board concluded its consideration of </w:t>
      </w:r>
      <w:r>
        <w:rPr>
          <w:b/>
          <w:u w:val="single"/>
        </w:rPr>
        <w:tab/>
      </w:r>
      <w:r>
        <w:rPr>
          <w:b/>
          <w:u w:val="single"/>
        </w:rPr>
        <w:tab/>
      </w:r>
      <w:r>
        <w:rPr>
          <w:b/>
          <w:u w:val="single"/>
        </w:rPr>
        <w:tab/>
      </w:r>
    </w:p>
    <w:p w:rsidR="006C6EDB" w:rsidRDefault="006C6EDB">
      <w:pPr>
        <w:jc w:val="left"/>
        <w:rPr>
          <w:b/>
        </w:rPr>
      </w:pPr>
      <w:r>
        <w:rPr>
          <w:b/>
        </w:rPr>
        <w:t>as an ISTC Partner on</w:t>
      </w:r>
      <w:r>
        <w:rPr>
          <w:b/>
        </w:rPr>
        <w:tab/>
      </w:r>
      <w:r>
        <w:rPr>
          <w:b/>
          <w:u w:val="single"/>
        </w:rPr>
        <w:tab/>
      </w:r>
      <w:r>
        <w:rPr>
          <w:b/>
          <w:u w:val="single"/>
        </w:rPr>
        <w:tab/>
      </w:r>
      <w:r>
        <w:rPr>
          <w:b/>
        </w:rPr>
        <w:t>.  The consensus view of the Governing Board was to:</w:t>
      </w:r>
    </w:p>
    <w:p w:rsidR="006C6EDB" w:rsidRDefault="006C6EDB">
      <w:pPr>
        <w:jc w:val="left"/>
        <w:rPr>
          <w:b/>
        </w:rPr>
      </w:pPr>
    </w:p>
    <w:p w:rsidR="006C6EDB" w:rsidRDefault="006C6EDB">
      <w:pPr>
        <w:jc w:val="left"/>
        <w:rPr>
          <w:b/>
        </w:rPr>
      </w:pPr>
    </w:p>
    <w:p w:rsidR="006C6EDB" w:rsidRDefault="006C6EDB">
      <w:pPr>
        <w:jc w:val="left"/>
        <w:rPr>
          <w:b/>
        </w:rPr>
      </w:pPr>
      <w:r>
        <w:rPr>
          <w:b/>
          <w:u w:val="single"/>
        </w:rPr>
        <w:tab/>
      </w:r>
      <w:r>
        <w:rPr>
          <w:b/>
          <w:u w:val="single"/>
        </w:rPr>
        <w:tab/>
      </w:r>
      <w:r>
        <w:rPr>
          <w:b/>
        </w:rPr>
        <w:t>Approve</w:t>
      </w:r>
    </w:p>
    <w:p w:rsidR="006C6EDB" w:rsidRDefault="006C6EDB">
      <w:pPr>
        <w:jc w:val="left"/>
        <w:rPr>
          <w:b/>
        </w:rPr>
      </w:pPr>
    </w:p>
    <w:p w:rsidR="006C6EDB" w:rsidRDefault="006C6EDB">
      <w:pPr>
        <w:jc w:val="left"/>
        <w:rPr>
          <w:b/>
        </w:rPr>
      </w:pPr>
    </w:p>
    <w:p w:rsidR="006C6EDB" w:rsidRDefault="006C6EDB">
      <w:pPr>
        <w:tabs>
          <w:tab w:val="left" w:pos="0"/>
        </w:tabs>
        <w:jc w:val="left"/>
        <w:rPr>
          <w:b/>
        </w:rPr>
      </w:pPr>
      <w:r>
        <w:rPr>
          <w:b/>
          <w:u w:val="single"/>
        </w:rPr>
        <w:tab/>
      </w:r>
      <w:r>
        <w:rPr>
          <w:b/>
          <w:u w:val="single"/>
        </w:rPr>
        <w:tab/>
      </w:r>
      <w:r>
        <w:rPr>
          <w:b/>
        </w:rPr>
        <w:t>Disapprove</w:t>
      </w:r>
    </w:p>
    <w:p w:rsidR="006C6EDB" w:rsidRDefault="006C6EDB">
      <w:pPr>
        <w:jc w:val="left"/>
        <w:rPr>
          <w:b/>
        </w:rPr>
      </w:pPr>
    </w:p>
    <w:p w:rsidR="006C6EDB" w:rsidRDefault="006C6EDB">
      <w:pPr>
        <w:jc w:val="left"/>
        <w:rPr>
          <w:b/>
        </w:rPr>
      </w:pPr>
    </w:p>
    <w:p w:rsidR="006C6EDB" w:rsidRDefault="006C6EDB">
      <w:pPr>
        <w:jc w:val="left"/>
        <w:rPr>
          <w:b/>
        </w:rPr>
      </w:pPr>
    </w:p>
    <w:p w:rsidR="006C6EDB" w:rsidRDefault="006C6EDB">
      <w:pPr>
        <w:jc w:val="left"/>
        <w:rPr>
          <w:b/>
        </w:rPr>
      </w:pPr>
      <w:r>
        <w:rPr>
          <w:b/>
        </w:rPr>
        <w:t xml:space="preserve">Signature:   </w:t>
      </w:r>
      <w:r>
        <w:rPr>
          <w:b/>
          <w:u w:val="single"/>
        </w:rPr>
        <w:tab/>
      </w:r>
      <w:r>
        <w:rPr>
          <w:b/>
          <w:u w:val="single"/>
        </w:rPr>
        <w:tab/>
      </w:r>
      <w:r>
        <w:rPr>
          <w:b/>
          <w:u w:val="single"/>
        </w:rPr>
        <w:tab/>
      </w:r>
      <w:r>
        <w:rPr>
          <w:b/>
          <w:u w:val="single"/>
        </w:rPr>
        <w:tab/>
      </w:r>
      <w:r>
        <w:rPr>
          <w:b/>
          <w:u w:val="single"/>
        </w:rPr>
        <w:tab/>
      </w:r>
    </w:p>
    <w:p w:rsidR="006C6EDB" w:rsidRDefault="006C6EDB">
      <w:pPr>
        <w:jc w:val="left"/>
        <w:rPr>
          <w:b/>
        </w:rPr>
      </w:pPr>
      <w:r>
        <w:rPr>
          <w:b/>
        </w:rPr>
        <w:tab/>
      </w:r>
      <w:r>
        <w:rPr>
          <w:b/>
        </w:rPr>
        <w:tab/>
      </w:r>
      <w:r>
        <w:rPr>
          <w:b/>
        </w:rPr>
        <w:tab/>
        <w:t>Executive Director</w:t>
      </w:r>
    </w:p>
    <w:p w:rsidR="006C6EDB" w:rsidRDefault="006C6EDB">
      <w:pPr>
        <w:jc w:val="left"/>
        <w:rPr>
          <w:b/>
        </w:rPr>
      </w:pPr>
    </w:p>
    <w:p w:rsidR="006C6EDB" w:rsidRDefault="006C6EDB">
      <w:pPr>
        <w:jc w:val="left"/>
        <w:rPr>
          <w:b/>
        </w:rPr>
      </w:pPr>
      <w:r>
        <w:rPr>
          <w:b/>
        </w:rPr>
        <w:t>Date:</w:t>
      </w:r>
      <w:r>
        <w:rPr>
          <w:b/>
        </w:rPr>
        <w:tab/>
      </w:r>
      <w:r>
        <w:rPr>
          <w:b/>
          <w:u w:val="single"/>
        </w:rPr>
        <w:tab/>
      </w:r>
      <w:r>
        <w:rPr>
          <w:b/>
          <w:u w:val="single"/>
        </w:rPr>
        <w:tab/>
      </w:r>
    </w:p>
    <w:p w:rsidR="006C6EDB" w:rsidRDefault="006C6EDB">
      <w:pPr>
        <w:jc w:val="center"/>
      </w:pPr>
      <w:r>
        <w:br w:type="page"/>
      </w:r>
    </w:p>
    <w:p w:rsidR="006C6EDB" w:rsidRDefault="006C6EDB">
      <w:pPr>
        <w:jc w:val="center"/>
        <w:rPr>
          <w:b/>
        </w:rPr>
      </w:pPr>
      <w:r>
        <w:rPr>
          <w:b/>
        </w:rPr>
        <w:t>Sample Letter from U.S. Company Requesting</w:t>
      </w:r>
    </w:p>
    <w:p w:rsidR="006C6EDB" w:rsidRDefault="006C6EDB">
      <w:pPr>
        <w:jc w:val="center"/>
        <w:rPr>
          <w:b/>
        </w:rPr>
      </w:pPr>
      <w:r>
        <w:rPr>
          <w:b/>
        </w:rPr>
        <w:t>Nomination as an ISTC Partner</w:t>
      </w:r>
    </w:p>
    <w:p w:rsidR="006C6EDB" w:rsidRDefault="006C6EDB">
      <w:pPr>
        <w:jc w:val="left"/>
        <w:rPr>
          <w:b/>
        </w:rPr>
      </w:pPr>
    </w:p>
    <w:p w:rsidR="006C6EDB" w:rsidRDefault="006C6EDB">
      <w:pPr>
        <w:jc w:val="left"/>
        <w:rPr>
          <w:b/>
        </w:rPr>
      </w:pPr>
    </w:p>
    <w:p w:rsidR="006C6EDB" w:rsidRDefault="006C6EDB">
      <w:pPr>
        <w:jc w:val="left"/>
      </w:pPr>
    </w:p>
    <w:p w:rsidR="006C6EDB" w:rsidRDefault="006C6EDB">
      <w:pPr>
        <w:jc w:val="left"/>
        <w:rPr>
          <w:b/>
          <w:i/>
        </w:rPr>
      </w:pPr>
      <w:r>
        <w:rPr>
          <w:b/>
          <w:i/>
        </w:rPr>
        <w:t>ACME Corporation</w:t>
      </w:r>
    </w:p>
    <w:p w:rsidR="006C6EDB" w:rsidRDefault="006C6EDB">
      <w:pPr>
        <w:jc w:val="left"/>
        <w:rPr>
          <w:b/>
          <w:i/>
        </w:rPr>
      </w:pPr>
      <w:r>
        <w:rPr>
          <w:b/>
          <w:i/>
        </w:rPr>
        <w:t>12345 Lake Street</w:t>
      </w:r>
    </w:p>
    <w:p w:rsidR="006C6EDB" w:rsidRDefault="006C6EDB">
      <w:pPr>
        <w:jc w:val="left"/>
      </w:pPr>
      <w:r>
        <w:rPr>
          <w:b/>
          <w:i/>
        </w:rPr>
        <w:t>Fargo, North Dakota</w:t>
      </w:r>
    </w:p>
    <w:p w:rsidR="006C6EDB" w:rsidRDefault="006C6EDB">
      <w:pPr>
        <w:jc w:val="left"/>
      </w:pPr>
    </w:p>
    <w:p w:rsidR="006C6EDB" w:rsidRDefault="006C6EDB">
      <w:pPr>
        <w:jc w:val="left"/>
      </w:pPr>
    </w:p>
    <w:p w:rsidR="006C6EDB" w:rsidRDefault="006C6EDB">
      <w:pPr>
        <w:jc w:val="left"/>
      </w:pPr>
    </w:p>
    <w:p w:rsidR="006C6EDB" w:rsidRDefault="006C6EDB">
      <w:pPr>
        <w:jc w:val="left"/>
      </w:pPr>
      <w:r>
        <w:t>Ms. Anne Harrington</w:t>
      </w:r>
    </w:p>
    <w:p w:rsidR="006C6EDB" w:rsidRDefault="006C6EDB">
      <w:pPr>
        <w:jc w:val="left"/>
      </w:pPr>
      <w:r>
        <w:t>Department of State</w:t>
      </w:r>
    </w:p>
    <w:p w:rsidR="006C6EDB" w:rsidRDefault="006C6EDB">
      <w:pPr>
        <w:jc w:val="left"/>
      </w:pPr>
      <w:r>
        <w:t>Washington, D.C.</w:t>
      </w:r>
      <w:r>
        <w:tab/>
        <w:t>20520</w:t>
      </w:r>
    </w:p>
    <w:p w:rsidR="006C6EDB" w:rsidRDefault="006C6EDB">
      <w:pPr>
        <w:jc w:val="left"/>
      </w:pPr>
    </w:p>
    <w:p w:rsidR="006C6EDB" w:rsidRDefault="006C6EDB">
      <w:pPr>
        <w:jc w:val="left"/>
      </w:pPr>
      <w:r>
        <w:t>Dear Ms. Harrington:</w:t>
      </w:r>
    </w:p>
    <w:p w:rsidR="006C6EDB" w:rsidRDefault="006C6EDB">
      <w:pPr>
        <w:jc w:val="left"/>
      </w:pPr>
    </w:p>
    <w:p w:rsidR="006C6EDB" w:rsidRDefault="006C6EDB">
      <w:pPr>
        <w:jc w:val="left"/>
      </w:pPr>
      <w:r>
        <w:t>The Acme Corporation has been involved for 12 years in the development of control systems for widget production.  Over the past six years, we have developed a strong working relationship with the Scientific Research Institute for Widget Development (SRIWD) in Yekaterinburg.  We are interested in expanding our cooperation with the SRIWD as an ISTC Partner.</w:t>
      </w:r>
    </w:p>
    <w:p w:rsidR="006C6EDB" w:rsidRDefault="006C6EDB">
      <w:pPr>
        <w:jc w:val="left"/>
      </w:pPr>
    </w:p>
    <w:p w:rsidR="006C6EDB" w:rsidRDefault="006C6EDB">
      <w:pPr>
        <w:jc w:val="left"/>
      </w:pPr>
      <w:r>
        <w:t>The Acme Corporation has read and accepts the terms and conditions of the ISTC Agreement and Statute and accepts the Principles for Non-Party Participation in the ISTC.</w:t>
      </w:r>
    </w:p>
    <w:p w:rsidR="006C6EDB" w:rsidRDefault="006C6EDB">
      <w:pPr>
        <w:jc w:val="left"/>
      </w:pPr>
    </w:p>
    <w:p w:rsidR="006C6EDB" w:rsidRDefault="006C6EDB">
      <w:pPr>
        <w:jc w:val="left"/>
      </w:pPr>
      <w:r>
        <w:t>Acme plans to propose 2-4 projects with SRIWD over the next three years and plans to invest $200,000–400,000 on these projects.  We also will provide certain technical equipment, but do not yet have a detailed list.  Attached are brief summaries of several project ideas we have discussed with SRIWD.  Our final proposals will be developed from this list.</w:t>
      </w:r>
    </w:p>
    <w:p w:rsidR="006C6EDB" w:rsidRDefault="006C6EDB">
      <w:pPr>
        <w:jc w:val="left"/>
      </w:pPr>
    </w:p>
    <w:p w:rsidR="006C6EDB" w:rsidRDefault="006C6EDB">
      <w:pPr>
        <w:jc w:val="left"/>
      </w:pPr>
      <w:r>
        <w:t>We welcome the opportunity to work with the ISTC.</w:t>
      </w:r>
    </w:p>
    <w:p w:rsidR="006C6EDB" w:rsidRDefault="006C6EDB">
      <w:pPr>
        <w:jc w:val="left"/>
      </w:pPr>
    </w:p>
    <w:p w:rsidR="006C6EDB" w:rsidRDefault="006C6EDB">
      <w:pPr>
        <w:jc w:val="left"/>
      </w:pPr>
    </w:p>
    <w:p w:rsidR="006C6EDB" w:rsidRDefault="006C6EDB">
      <w:pPr>
        <w:jc w:val="left"/>
      </w:pPr>
      <w:r>
        <w:tab/>
      </w:r>
      <w:r>
        <w:tab/>
      </w:r>
      <w:r>
        <w:tab/>
      </w:r>
      <w:r>
        <w:tab/>
      </w:r>
      <w:r>
        <w:tab/>
      </w:r>
      <w:r>
        <w:tab/>
        <w:t>Sincerely,</w:t>
      </w:r>
    </w:p>
    <w:p w:rsidR="006C6EDB" w:rsidRDefault="006C6EDB">
      <w:pPr>
        <w:jc w:val="left"/>
      </w:pPr>
    </w:p>
    <w:p w:rsidR="006C6EDB" w:rsidRDefault="006C6EDB">
      <w:pPr>
        <w:jc w:val="left"/>
      </w:pPr>
    </w:p>
    <w:p w:rsidR="006C6EDB" w:rsidRDefault="006C6EDB">
      <w:pPr>
        <w:jc w:val="left"/>
      </w:pPr>
      <w:r>
        <w:tab/>
      </w:r>
      <w:r>
        <w:tab/>
      </w:r>
      <w:r>
        <w:tab/>
      </w:r>
      <w:r>
        <w:tab/>
      </w:r>
      <w:r>
        <w:tab/>
      </w:r>
      <w:r>
        <w:tab/>
        <w:t>John Smith</w:t>
      </w:r>
    </w:p>
    <w:p w:rsidR="006C6EDB" w:rsidRDefault="006C6EDB">
      <w:pPr>
        <w:jc w:val="left"/>
      </w:pPr>
      <w:r>
        <w:tab/>
      </w:r>
      <w:r>
        <w:tab/>
      </w:r>
      <w:r>
        <w:tab/>
      </w:r>
      <w:r>
        <w:tab/>
      </w:r>
      <w:r>
        <w:tab/>
      </w:r>
      <w:r>
        <w:tab/>
        <w:t>President &amp; CEO</w:t>
      </w:r>
    </w:p>
    <w:p w:rsidR="006C6EDB" w:rsidRDefault="006C6EDB">
      <w:pPr>
        <w:jc w:val="left"/>
      </w:pPr>
    </w:p>
    <w:p w:rsidR="006C6EDB" w:rsidRDefault="006C6EDB">
      <w:pPr>
        <w:jc w:val="left"/>
      </w:pPr>
    </w:p>
    <w:sectPr w:rsidR="006C6EDB">
      <w:footerReference w:type="default" r:id="rId13"/>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A1" w:rsidRDefault="00EB40A1">
      <w:r>
        <w:separator/>
      </w:r>
    </w:p>
  </w:endnote>
  <w:endnote w:type="continuationSeparator" w:id="0">
    <w:p w:rsidR="00EB40A1" w:rsidRDefault="00E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DB" w:rsidRDefault="006C6EDB">
    <w:pPr>
      <w:pStyle w:val="Footer"/>
      <w:jc w:val="center"/>
    </w:pPr>
    <w:r>
      <w:rPr>
        <w:rStyle w:val="PageNumber"/>
      </w:rPr>
      <w:fldChar w:fldCharType="begin"/>
    </w:r>
    <w:r>
      <w:rPr>
        <w:rStyle w:val="PageNumber"/>
      </w:rPr>
      <w:instrText xml:space="preserve"> PAGE </w:instrText>
    </w:r>
    <w:r>
      <w:rPr>
        <w:rStyle w:val="PageNumber"/>
      </w:rPr>
      <w:fldChar w:fldCharType="separate"/>
    </w:r>
    <w:r w:rsidR="007D3D9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A1" w:rsidRDefault="00EB40A1">
      <w:r>
        <w:separator/>
      </w:r>
    </w:p>
  </w:footnote>
  <w:footnote w:type="continuationSeparator" w:id="0">
    <w:p w:rsidR="00EB40A1" w:rsidRDefault="00EB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82A5C8"/>
    <w:lvl w:ilvl="0">
      <w:numFmt w:val="bullet"/>
      <w:lvlText w:val="*"/>
      <w:lvlJc w:val="left"/>
    </w:lvl>
  </w:abstractNum>
  <w:num w:numId="1">
    <w:abstractNumId w:val="0"/>
    <w:lvlOverride w:ilvl="0">
      <w:lvl w:ilvl="0">
        <w:start w:val="1"/>
        <w:numFmt w:val="bullet"/>
        <w:lvlText w:val="–"/>
        <w:legacy w:legacy="1" w:legacySpace="0" w:legacyIndent="360"/>
        <w:lvlJc w:val="left"/>
        <w:pPr>
          <w:ind w:left="927"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9C"/>
    <w:rsid w:val="006C6EDB"/>
    <w:rsid w:val="007D3D9C"/>
    <w:rsid w:val="00EB40A1"/>
    <w:rsid w:val="00FB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left"/>
    </w:pPr>
    <w:rPr>
      <w:sz w:val="20"/>
    </w:rPr>
  </w:style>
  <w:style w:type="paragraph" w:styleId="Footer">
    <w:name w:val="footer"/>
    <w:basedOn w:val="Normal"/>
    <w:pPr>
      <w:tabs>
        <w:tab w:val="center" w:pos="4153"/>
        <w:tab w:val="right" w:pos="8306"/>
      </w:tabs>
      <w:jc w:val="left"/>
    </w:pPr>
    <w:rPr>
      <w:sz w:val="20"/>
    </w:rPr>
  </w:style>
  <w:style w:type="character" w:styleId="PageNumber">
    <w:name w:val="page number"/>
    <w:basedOn w:val="DefaultParagraphFont"/>
  </w:style>
  <w:style w:type="character" w:styleId="Hyperlink">
    <w:name w:val="Hyperlink"/>
    <w:uiPriority w:val="99"/>
    <w:unhideWhenUsed/>
    <w:rsid w:val="007D3D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left"/>
    </w:pPr>
    <w:rPr>
      <w:sz w:val="20"/>
    </w:rPr>
  </w:style>
  <w:style w:type="paragraph" w:styleId="Footer">
    <w:name w:val="footer"/>
    <w:basedOn w:val="Normal"/>
    <w:pPr>
      <w:tabs>
        <w:tab w:val="center" w:pos="4153"/>
        <w:tab w:val="right" w:pos="8306"/>
      </w:tabs>
      <w:jc w:val="left"/>
    </w:pPr>
    <w:rPr>
      <w:sz w:val="20"/>
    </w:rPr>
  </w:style>
  <w:style w:type="character" w:styleId="PageNumber">
    <w:name w:val="page number"/>
    <w:basedOn w:val="DefaultParagraphFont"/>
  </w:style>
  <w:style w:type="character" w:styleId="Hyperlink">
    <w:name w:val="Hyperlink"/>
    <w:uiPriority w:val="99"/>
    <w:unhideWhenUsed/>
    <w:rsid w:val="007D3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stc.i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c.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c.i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magambetova\Desktop\ISTC%20Partnering%20-%20incl%20sample%20reques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ISTC Partnering - incl sample request letter</Template>
  <TotalTime>3</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PROCEDURES FOR INTRODUCTION OF AN ISTC PARTNER</vt:lpstr>
    </vt:vector>
  </TitlesOfParts>
  <Company>Hi System Software</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INTRODUCTION OF AN ISTC PARTNER</dc:title>
  <dc:creator>Amina Bimagambetova</dc:creator>
  <cp:lastModifiedBy>Amina Bimagambetova</cp:lastModifiedBy>
  <cp:revision>1</cp:revision>
  <cp:lastPrinted>1601-01-01T00:00:00Z</cp:lastPrinted>
  <dcterms:created xsi:type="dcterms:W3CDTF">2017-02-08T05:44:00Z</dcterms:created>
  <dcterms:modified xsi:type="dcterms:W3CDTF">2017-02-08T05:48:00Z</dcterms:modified>
</cp:coreProperties>
</file>