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F0D" w:rsidRPr="00D11FA2" w:rsidRDefault="005F7F0D" w:rsidP="005F7F0D">
      <w:pPr>
        <w:jc w:val="center"/>
        <w:rPr>
          <w:rFonts w:ascii="Times New Roman" w:hAnsi="Times New Roman" w:cs="Times New Roman"/>
          <w:b/>
          <w:sz w:val="28"/>
          <w:szCs w:val="28"/>
        </w:rPr>
      </w:pPr>
      <w:bookmarkStart w:id="0" w:name="_GoBack"/>
      <w:bookmarkEnd w:id="0"/>
      <w:r w:rsidRPr="00784C3C">
        <w:rPr>
          <w:rFonts w:ascii="Times New Roman" w:hAnsi="Times New Roman" w:cs="Times New Roman"/>
          <w:b/>
          <w:sz w:val="28"/>
          <w:szCs w:val="28"/>
        </w:rPr>
        <w:t xml:space="preserve">Promoting </w:t>
      </w:r>
      <w:r w:rsidRPr="00073A51">
        <w:rPr>
          <w:rFonts w:ascii="Times New Roman" w:hAnsi="Times New Roman" w:cs="Times New Roman"/>
          <w:b/>
          <w:sz w:val="28"/>
          <w:szCs w:val="28"/>
        </w:rPr>
        <w:t>a Scientist’s Duty of Care 4.0</w:t>
      </w:r>
    </w:p>
    <w:p w:rsidR="005F7F0D" w:rsidRPr="00810347" w:rsidRDefault="005F7F0D" w:rsidP="005F7F0D">
      <w:pPr>
        <w:jc w:val="center"/>
        <w:rPr>
          <w:rFonts w:ascii="Times New Roman" w:hAnsi="Times New Roman" w:cs="Times New Roman"/>
          <w:b/>
          <w:sz w:val="28"/>
          <w:szCs w:val="28"/>
          <w:lang w:val="nl-NL"/>
        </w:rPr>
      </w:pPr>
      <w:r w:rsidRPr="00810347">
        <w:rPr>
          <w:rFonts w:ascii="Times New Roman" w:hAnsi="Times New Roman" w:cs="Times New Roman"/>
          <w:b/>
          <w:sz w:val="28"/>
          <w:szCs w:val="28"/>
          <w:lang w:val="nl-NL"/>
        </w:rPr>
        <w:t>By Adriaan van der Meer</w:t>
      </w:r>
      <w:r w:rsidRPr="00D11FA2">
        <w:rPr>
          <w:rStyle w:val="FootnoteReference"/>
          <w:rFonts w:ascii="Times New Roman" w:hAnsi="Times New Roman" w:cs="Times New Roman"/>
          <w:b/>
          <w:sz w:val="28"/>
          <w:szCs w:val="28"/>
        </w:rPr>
        <w:footnoteReference w:id="1"/>
      </w:r>
    </w:p>
    <w:p w:rsidR="00B1509A" w:rsidRPr="00D11FA2" w:rsidRDefault="00B1509A" w:rsidP="005F7F0D">
      <w:pPr>
        <w:jc w:val="center"/>
        <w:rPr>
          <w:rFonts w:ascii="Times New Roman" w:hAnsi="Times New Roman" w:cs="Times New Roman"/>
          <w:b/>
          <w:sz w:val="28"/>
          <w:szCs w:val="28"/>
        </w:rPr>
      </w:pPr>
      <w:r w:rsidRPr="00810347">
        <w:rPr>
          <w:rFonts w:ascii="Times New Roman" w:hAnsi="Times New Roman" w:cs="Times New Roman"/>
          <w:b/>
          <w:sz w:val="28"/>
          <w:szCs w:val="28"/>
          <w:lang w:val="nl-NL"/>
        </w:rPr>
        <w:t xml:space="preserve"> </w:t>
      </w:r>
      <w:r>
        <w:rPr>
          <w:rFonts w:ascii="Times New Roman" w:hAnsi="Times New Roman" w:cs="Times New Roman"/>
          <w:b/>
          <w:sz w:val="28"/>
          <w:szCs w:val="28"/>
        </w:rPr>
        <w:t>May 2018</w:t>
      </w:r>
    </w:p>
    <w:p w:rsidR="005F7F0D" w:rsidRPr="00D11FA2" w:rsidRDefault="005F7F0D" w:rsidP="005F7F0D">
      <w:pPr>
        <w:rPr>
          <w:rFonts w:ascii="Times New Roman" w:hAnsi="Times New Roman" w:cs="Times New Roman"/>
          <w:sz w:val="24"/>
          <w:szCs w:val="24"/>
          <w:u w:val="single"/>
        </w:rPr>
      </w:pPr>
    </w:p>
    <w:p w:rsidR="005F7F0D" w:rsidRPr="00073A51" w:rsidRDefault="005F7F0D" w:rsidP="005F7F0D">
      <w:pPr>
        <w:pStyle w:val="Heading1"/>
      </w:pPr>
      <w:bookmarkStart w:id="1" w:name="_Toc511640355"/>
      <w:r w:rsidRPr="00073A51">
        <w:t>Abstract</w:t>
      </w:r>
      <w:bookmarkEnd w:id="1"/>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This paper argues </w:t>
      </w:r>
      <w:r w:rsidR="001A4956">
        <w:rPr>
          <w:rFonts w:ascii="Times New Roman" w:hAnsi="Times New Roman" w:cs="Times New Roman"/>
          <w:sz w:val="24"/>
          <w:szCs w:val="24"/>
        </w:rPr>
        <w:t xml:space="preserve">for </w:t>
      </w:r>
      <w:r w:rsidRPr="00D11FA2">
        <w:rPr>
          <w:rFonts w:ascii="Times New Roman" w:hAnsi="Times New Roman" w:cs="Times New Roman"/>
          <w:sz w:val="24"/>
          <w:szCs w:val="24"/>
        </w:rPr>
        <w:t xml:space="preserve">the need to introduce and strengthen more flexible forms of cooperation at </w:t>
      </w:r>
      <w:r w:rsidR="001A4956">
        <w:rPr>
          <w:rFonts w:ascii="Times New Roman" w:hAnsi="Times New Roman" w:cs="Times New Roman"/>
          <w:sz w:val="24"/>
          <w:szCs w:val="24"/>
        </w:rPr>
        <w:t xml:space="preserve">the </w:t>
      </w:r>
      <w:r w:rsidRPr="00D11FA2">
        <w:rPr>
          <w:rFonts w:ascii="Times New Roman" w:hAnsi="Times New Roman" w:cs="Times New Roman"/>
          <w:sz w:val="24"/>
          <w:szCs w:val="24"/>
        </w:rPr>
        <w:t>grassroots level in order to deal with current non-proliferation challenges. There is an important role to play for scientists, engineers, academicians, experts and others working at different types of organisations</w:t>
      </w:r>
      <w:r w:rsidRPr="00073A51">
        <w:rPr>
          <w:rFonts w:ascii="Times New Roman" w:hAnsi="Times New Roman" w:cs="Times New Roman"/>
          <w:sz w:val="24"/>
          <w:szCs w:val="24"/>
        </w:rPr>
        <w:t>: profit and non-profit. The rapidly</w:t>
      </w:r>
      <w:r w:rsidR="001A4956">
        <w:rPr>
          <w:rFonts w:ascii="Times New Roman" w:hAnsi="Times New Roman" w:cs="Times New Roman"/>
          <w:sz w:val="24"/>
          <w:szCs w:val="24"/>
        </w:rPr>
        <w:t xml:space="preserve"> </w:t>
      </w:r>
      <w:r w:rsidRPr="00073A51">
        <w:rPr>
          <w:rFonts w:ascii="Times New Roman" w:hAnsi="Times New Roman" w:cs="Times New Roman"/>
          <w:sz w:val="24"/>
          <w:szCs w:val="24"/>
        </w:rPr>
        <w:t>changing</w:t>
      </w:r>
      <w:r w:rsidRPr="00D11FA2">
        <w:rPr>
          <w:rFonts w:ascii="Times New Roman" w:hAnsi="Times New Roman" w:cs="Times New Roman"/>
          <w:sz w:val="24"/>
          <w:szCs w:val="24"/>
        </w:rPr>
        <w:t xml:space="preserve"> security environment</w:t>
      </w:r>
      <w:r w:rsidR="001A4956">
        <w:rPr>
          <w:rFonts w:ascii="Times New Roman" w:hAnsi="Times New Roman" w:cs="Times New Roman"/>
          <w:sz w:val="24"/>
          <w:szCs w:val="24"/>
        </w:rPr>
        <w:t>,</w:t>
      </w:r>
      <w:r w:rsidRPr="00D11FA2">
        <w:rPr>
          <w:rFonts w:ascii="Times New Roman" w:hAnsi="Times New Roman" w:cs="Times New Roman"/>
          <w:sz w:val="24"/>
          <w:szCs w:val="24"/>
        </w:rPr>
        <w:t xml:space="preserve"> as well as the considerable time lag </w:t>
      </w:r>
      <w:r w:rsidR="001A4956">
        <w:rPr>
          <w:rFonts w:ascii="Times New Roman" w:hAnsi="Times New Roman" w:cs="Times New Roman"/>
          <w:sz w:val="24"/>
          <w:szCs w:val="24"/>
        </w:rPr>
        <w:t>in mitigating such</w:t>
      </w:r>
      <w:r w:rsidRPr="00D11FA2">
        <w:rPr>
          <w:rFonts w:ascii="Times New Roman" w:hAnsi="Times New Roman" w:cs="Times New Roman"/>
          <w:sz w:val="24"/>
          <w:szCs w:val="24"/>
        </w:rPr>
        <w:t xml:space="preserve"> risks through legislative frameworks</w:t>
      </w:r>
      <w:r w:rsidR="001A4956">
        <w:rPr>
          <w:rFonts w:ascii="Times New Roman" w:hAnsi="Times New Roman" w:cs="Times New Roman"/>
          <w:sz w:val="24"/>
          <w:szCs w:val="24"/>
        </w:rPr>
        <w:t>,</w:t>
      </w:r>
      <w:r w:rsidRPr="00D11FA2">
        <w:rPr>
          <w:rFonts w:ascii="Times New Roman" w:hAnsi="Times New Roman" w:cs="Times New Roman"/>
          <w:sz w:val="24"/>
          <w:szCs w:val="24"/>
        </w:rPr>
        <w:t xml:space="preserve"> increasingly call for such cooperation. Reinforcement of these forms of cooperation is beneficial to the preventive approach </w:t>
      </w:r>
      <w:r w:rsidR="001A4956">
        <w:rPr>
          <w:rFonts w:ascii="Times New Roman" w:hAnsi="Times New Roman" w:cs="Times New Roman"/>
          <w:sz w:val="24"/>
          <w:szCs w:val="24"/>
        </w:rPr>
        <w:t xml:space="preserve">to </w:t>
      </w:r>
      <w:r w:rsidRPr="00D11FA2">
        <w:rPr>
          <w:rFonts w:ascii="Times New Roman" w:hAnsi="Times New Roman" w:cs="Times New Roman"/>
          <w:sz w:val="24"/>
          <w:szCs w:val="24"/>
        </w:rPr>
        <w:t>mitigating security risks and threats.</w:t>
      </w: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lang w:val="en-GB"/>
        </w:rPr>
        <w:id w:val="1593512444"/>
        <w:docPartObj>
          <w:docPartGallery w:val="Table of Contents"/>
          <w:docPartUnique/>
        </w:docPartObj>
      </w:sdtPr>
      <w:sdtEndPr>
        <w:rPr>
          <w:noProof/>
        </w:rPr>
      </w:sdtEndPr>
      <w:sdtContent>
        <w:p w:rsidR="005F7F0D" w:rsidRPr="00D11FA2" w:rsidRDefault="005F7F0D" w:rsidP="005F7F0D">
          <w:pPr>
            <w:pStyle w:val="TOCHeading"/>
            <w:rPr>
              <w:lang w:val="en-GB"/>
            </w:rPr>
          </w:pPr>
          <w:r w:rsidRPr="00D11FA2">
            <w:rPr>
              <w:lang w:val="en-GB"/>
            </w:rPr>
            <w:t>Table of Contents</w:t>
          </w:r>
        </w:p>
        <w:p w:rsidR="005F7F0D" w:rsidRPr="00073A51" w:rsidRDefault="005F7F0D" w:rsidP="005F7F0D">
          <w:pPr>
            <w:pStyle w:val="TOC1"/>
            <w:tabs>
              <w:tab w:val="right" w:leader="dot" w:pos="9016"/>
            </w:tabs>
            <w:rPr>
              <w:rFonts w:eastAsiaTheme="minorEastAsia" w:cstheme="minorBidi"/>
              <w:b w:val="0"/>
              <w:bCs w:val="0"/>
              <w:i w:val="0"/>
              <w:iCs w:val="0"/>
              <w:noProof/>
            </w:rPr>
          </w:pPr>
          <w:r w:rsidRPr="00073A51">
            <w:rPr>
              <w:b w:val="0"/>
              <w:bCs w:val="0"/>
            </w:rPr>
            <w:fldChar w:fldCharType="begin"/>
          </w:r>
          <w:r w:rsidRPr="00D11FA2">
            <w:instrText xml:space="preserve"> TOC \o "1-3" \h \z \u </w:instrText>
          </w:r>
          <w:r w:rsidRPr="00073A51">
            <w:rPr>
              <w:b w:val="0"/>
              <w:bCs w:val="0"/>
            </w:rPr>
            <w:fldChar w:fldCharType="separate"/>
          </w:r>
          <w:hyperlink w:anchor="_Toc511640355" w:history="1">
            <w:r w:rsidRPr="00D11FA2">
              <w:rPr>
                <w:rStyle w:val="Hyperlink"/>
                <w:noProof/>
              </w:rPr>
              <w:t>Abstract</w:t>
            </w:r>
            <w:r w:rsidRPr="00D11FA2">
              <w:rPr>
                <w:noProof/>
                <w:webHidden/>
              </w:rPr>
              <w:tab/>
            </w:r>
            <w:r w:rsidRPr="00D11FA2">
              <w:rPr>
                <w:noProof/>
                <w:webHidden/>
              </w:rPr>
              <w:fldChar w:fldCharType="begin"/>
            </w:r>
            <w:r w:rsidRPr="00D11FA2">
              <w:rPr>
                <w:noProof/>
                <w:webHidden/>
              </w:rPr>
              <w:instrText xml:space="preserve"> PAGEREF _Toc511640355 \h </w:instrText>
            </w:r>
            <w:r w:rsidRPr="00D11FA2">
              <w:rPr>
                <w:noProof/>
                <w:webHidden/>
              </w:rPr>
            </w:r>
            <w:r w:rsidRPr="00D11FA2">
              <w:rPr>
                <w:noProof/>
                <w:webHidden/>
              </w:rPr>
              <w:fldChar w:fldCharType="separate"/>
            </w:r>
            <w:r w:rsidR="00653362">
              <w:rPr>
                <w:noProof/>
                <w:webHidden/>
              </w:rPr>
              <w:t>1</w:t>
            </w:r>
            <w:r w:rsidRPr="00D11FA2">
              <w:rPr>
                <w:noProof/>
                <w:webHidden/>
              </w:rPr>
              <w:fldChar w:fldCharType="end"/>
            </w:r>
          </w:hyperlink>
        </w:p>
        <w:p w:rsidR="005F7F0D" w:rsidRPr="00073A51" w:rsidRDefault="00641F41" w:rsidP="005F7F0D">
          <w:pPr>
            <w:pStyle w:val="TOC1"/>
            <w:tabs>
              <w:tab w:val="right" w:leader="dot" w:pos="9016"/>
            </w:tabs>
            <w:rPr>
              <w:rFonts w:eastAsiaTheme="minorEastAsia" w:cstheme="minorBidi"/>
              <w:b w:val="0"/>
              <w:bCs w:val="0"/>
              <w:i w:val="0"/>
              <w:iCs w:val="0"/>
              <w:noProof/>
            </w:rPr>
          </w:pPr>
          <w:hyperlink w:anchor="_Toc511640356" w:history="1">
            <w:r w:rsidR="005F7F0D" w:rsidRPr="00073A51">
              <w:rPr>
                <w:rStyle w:val="Hyperlink"/>
                <w:noProof/>
              </w:rPr>
              <w:t>Introduction: The Need for A Scientist’s Duty of Care 4.0</w:t>
            </w:r>
            <w:r w:rsidR="005F7F0D" w:rsidRPr="00073A51">
              <w:rPr>
                <w:noProof/>
                <w:webHidden/>
              </w:rPr>
              <w:tab/>
            </w:r>
            <w:r w:rsidR="005F7F0D" w:rsidRPr="00073A51">
              <w:rPr>
                <w:noProof/>
                <w:webHidden/>
              </w:rPr>
              <w:fldChar w:fldCharType="begin"/>
            </w:r>
            <w:r w:rsidR="005F7F0D" w:rsidRPr="00D11FA2">
              <w:rPr>
                <w:noProof/>
                <w:webHidden/>
              </w:rPr>
              <w:instrText xml:space="preserve"> PAGEREF _Toc511640356 \h </w:instrText>
            </w:r>
            <w:r w:rsidR="005F7F0D" w:rsidRPr="00073A51">
              <w:rPr>
                <w:noProof/>
                <w:webHidden/>
              </w:rPr>
            </w:r>
            <w:r w:rsidR="005F7F0D" w:rsidRPr="00073A51">
              <w:rPr>
                <w:noProof/>
                <w:webHidden/>
              </w:rPr>
              <w:fldChar w:fldCharType="separate"/>
            </w:r>
            <w:r w:rsidR="00653362">
              <w:rPr>
                <w:noProof/>
                <w:webHidden/>
              </w:rPr>
              <w:t>3</w:t>
            </w:r>
            <w:r w:rsidR="005F7F0D" w:rsidRPr="00073A51">
              <w:rPr>
                <w:noProof/>
                <w:webHidden/>
              </w:rPr>
              <w:fldChar w:fldCharType="end"/>
            </w:r>
          </w:hyperlink>
        </w:p>
        <w:p w:rsidR="005F7F0D" w:rsidRPr="00073A51" w:rsidRDefault="00641F41" w:rsidP="005F7F0D">
          <w:pPr>
            <w:pStyle w:val="TOC1"/>
            <w:tabs>
              <w:tab w:val="right" w:leader="dot" w:pos="9016"/>
            </w:tabs>
            <w:rPr>
              <w:rFonts w:eastAsiaTheme="minorEastAsia" w:cstheme="minorBidi"/>
              <w:b w:val="0"/>
              <w:bCs w:val="0"/>
              <w:i w:val="0"/>
              <w:iCs w:val="0"/>
              <w:noProof/>
            </w:rPr>
          </w:pPr>
          <w:hyperlink w:anchor="_Toc511640357" w:history="1">
            <w:r w:rsidR="005F7F0D" w:rsidRPr="00073A51">
              <w:rPr>
                <w:rStyle w:val="Hyperlink"/>
                <w:noProof/>
              </w:rPr>
              <w:t>Recognising emerging challenges</w:t>
            </w:r>
            <w:r w:rsidR="005F7F0D" w:rsidRPr="00073A51">
              <w:rPr>
                <w:noProof/>
                <w:webHidden/>
              </w:rPr>
              <w:tab/>
            </w:r>
            <w:r w:rsidR="005F7F0D" w:rsidRPr="00073A51">
              <w:rPr>
                <w:noProof/>
                <w:webHidden/>
              </w:rPr>
              <w:fldChar w:fldCharType="begin"/>
            </w:r>
            <w:r w:rsidR="005F7F0D" w:rsidRPr="00D11FA2">
              <w:rPr>
                <w:noProof/>
                <w:webHidden/>
              </w:rPr>
              <w:instrText xml:space="preserve"> PAGEREF _Toc511640357 \h </w:instrText>
            </w:r>
            <w:r w:rsidR="005F7F0D" w:rsidRPr="00073A51">
              <w:rPr>
                <w:noProof/>
                <w:webHidden/>
              </w:rPr>
            </w:r>
            <w:r w:rsidR="005F7F0D" w:rsidRPr="00073A51">
              <w:rPr>
                <w:noProof/>
                <w:webHidden/>
              </w:rPr>
              <w:fldChar w:fldCharType="separate"/>
            </w:r>
            <w:r w:rsidR="00653362">
              <w:rPr>
                <w:noProof/>
                <w:webHidden/>
              </w:rPr>
              <w:t>4</w:t>
            </w:r>
            <w:r w:rsidR="005F7F0D" w:rsidRPr="00073A51">
              <w:rPr>
                <w:noProof/>
                <w:webHidden/>
              </w:rPr>
              <w:fldChar w:fldCharType="end"/>
            </w:r>
          </w:hyperlink>
        </w:p>
        <w:p w:rsidR="005F7F0D" w:rsidRPr="00D11FA2" w:rsidRDefault="00641F41" w:rsidP="005F7F0D">
          <w:pPr>
            <w:pStyle w:val="TOC2"/>
            <w:rPr>
              <w:rFonts w:eastAsiaTheme="minorEastAsia" w:cstheme="minorBidi"/>
              <w:b w:val="0"/>
              <w:bCs w:val="0"/>
              <w:noProof/>
              <w:sz w:val="24"/>
              <w:szCs w:val="24"/>
            </w:rPr>
          </w:pPr>
          <w:hyperlink w:anchor="_Toc511640358" w:history="1">
            <w:r w:rsidR="005F7F0D" w:rsidRPr="00D11FA2">
              <w:rPr>
                <w:rStyle w:val="Hyperlink"/>
                <w:noProof/>
              </w:rPr>
              <w:t>The Need for a bottom-up approach</w:t>
            </w:r>
            <w:r w:rsidR="005F7F0D" w:rsidRPr="00D11FA2">
              <w:rPr>
                <w:noProof/>
                <w:webHidden/>
              </w:rPr>
              <w:tab/>
            </w:r>
            <w:r w:rsidR="005F7F0D" w:rsidRPr="00D11FA2">
              <w:rPr>
                <w:noProof/>
                <w:webHidden/>
              </w:rPr>
              <w:fldChar w:fldCharType="begin"/>
            </w:r>
            <w:r w:rsidR="005F7F0D" w:rsidRPr="00D11FA2">
              <w:rPr>
                <w:noProof/>
                <w:webHidden/>
              </w:rPr>
              <w:instrText xml:space="preserve"> PAGEREF _Toc511640358 \h </w:instrText>
            </w:r>
            <w:r w:rsidR="005F7F0D" w:rsidRPr="00D11FA2">
              <w:rPr>
                <w:noProof/>
                <w:webHidden/>
              </w:rPr>
            </w:r>
            <w:r w:rsidR="005F7F0D" w:rsidRPr="00D11FA2">
              <w:rPr>
                <w:noProof/>
                <w:webHidden/>
              </w:rPr>
              <w:fldChar w:fldCharType="separate"/>
            </w:r>
            <w:r w:rsidR="00653362">
              <w:rPr>
                <w:noProof/>
                <w:webHidden/>
              </w:rPr>
              <w:t>5</w:t>
            </w:r>
            <w:r w:rsidR="005F7F0D" w:rsidRPr="00D11FA2">
              <w:rPr>
                <w:noProof/>
                <w:webHidden/>
              </w:rPr>
              <w:fldChar w:fldCharType="end"/>
            </w:r>
          </w:hyperlink>
        </w:p>
        <w:p w:rsidR="005F7F0D" w:rsidRPr="00073A51" w:rsidRDefault="00641F41" w:rsidP="005F7F0D">
          <w:pPr>
            <w:pStyle w:val="TOC1"/>
            <w:tabs>
              <w:tab w:val="right" w:leader="dot" w:pos="9016"/>
            </w:tabs>
            <w:rPr>
              <w:rFonts w:eastAsiaTheme="minorEastAsia" w:cstheme="minorBidi"/>
              <w:b w:val="0"/>
              <w:bCs w:val="0"/>
              <w:i w:val="0"/>
              <w:iCs w:val="0"/>
              <w:noProof/>
            </w:rPr>
          </w:pPr>
          <w:hyperlink w:anchor="_Toc511640359" w:history="1">
            <w:r w:rsidR="005F7F0D" w:rsidRPr="00073A51">
              <w:rPr>
                <w:rStyle w:val="Hyperlink"/>
                <w:noProof/>
              </w:rPr>
              <w:t>Bottom-up approaches</w:t>
            </w:r>
            <w:r w:rsidR="005F7F0D" w:rsidRPr="00073A51">
              <w:rPr>
                <w:noProof/>
                <w:webHidden/>
              </w:rPr>
              <w:tab/>
            </w:r>
            <w:r w:rsidR="005F7F0D" w:rsidRPr="00073A51">
              <w:rPr>
                <w:noProof/>
                <w:webHidden/>
              </w:rPr>
              <w:fldChar w:fldCharType="begin"/>
            </w:r>
            <w:r w:rsidR="005F7F0D" w:rsidRPr="00D11FA2">
              <w:rPr>
                <w:noProof/>
                <w:webHidden/>
              </w:rPr>
              <w:instrText xml:space="preserve"> PAGEREF _Toc511640359 \h </w:instrText>
            </w:r>
            <w:r w:rsidR="005F7F0D" w:rsidRPr="00073A51">
              <w:rPr>
                <w:noProof/>
                <w:webHidden/>
              </w:rPr>
            </w:r>
            <w:r w:rsidR="005F7F0D" w:rsidRPr="00073A51">
              <w:rPr>
                <w:noProof/>
                <w:webHidden/>
              </w:rPr>
              <w:fldChar w:fldCharType="separate"/>
            </w:r>
            <w:r w:rsidR="00653362">
              <w:rPr>
                <w:noProof/>
                <w:webHidden/>
              </w:rPr>
              <w:t>7</w:t>
            </w:r>
            <w:r w:rsidR="005F7F0D" w:rsidRPr="00073A51">
              <w:rPr>
                <w:noProof/>
                <w:webHidden/>
              </w:rPr>
              <w:fldChar w:fldCharType="end"/>
            </w:r>
          </w:hyperlink>
        </w:p>
        <w:p w:rsidR="005F7F0D" w:rsidRPr="00D11FA2" w:rsidRDefault="00641F41" w:rsidP="005F7F0D">
          <w:pPr>
            <w:pStyle w:val="TOC2"/>
            <w:rPr>
              <w:rFonts w:eastAsiaTheme="minorEastAsia" w:cstheme="minorBidi"/>
              <w:b w:val="0"/>
              <w:bCs w:val="0"/>
              <w:noProof/>
              <w:sz w:val="24"/>
              <w:szCs w:val="24"/>
            </w:rPr>
          </w:pPr>
          <w:hyperlink w:anchor="_Toc511640360" w:history="1">
            <w:r w:rsidR="005F7F0D" w:rsidRPr="00D11FA2">
              <w:rPr>
                <w:rStyle w:val="Hyperlink"/>
                <w:noProof/>
              </w:rPr>
              <w:t>The Science Centres model</w:t>
            </w:r>
            <w:r w:rsidR="005F7F0D" w:rsidRPr="00073A51">
              <w:rPr>
                <w:noProof/>
                <w:webHidden/>
              </w:rPr>
              <w:tab/>
            </w:r>
            <w:r w:rsidR="005F7F0D" w:rsidRPr="00D11FA2">
              <w:rPr>
                <w:noProof/>
                <w:webHidden/>
              </w:rPr>
              <w:fldChar w:fldCharType="begin"/>
            </w:r>
            <w:r w:rsidR="005F7F0D" w:rsidRPr="00D11FA2">
              <w:rPr>
                <w:noProof/>
                <w:webHidden/>
              </w:rPr>
              <w:instrText xml:space="preserve"> PAGEREF _Toc511640360 \h </w:instrText>
            </w:r>
            <w:r w:rsidR="005F7F0D" w:rsidRPr="00D11FA2">
              <w:rPr>
                <w:noProof/>
                <w:webHidden/>
              </w:rPr>
            </w:r>
            <w:r w:rsidR="005F7F0D" w:rsidRPr="00D11FA2">
              <w:rPr>
                <w:noProof/>
                <w:webHidden/>
              </w:rPr>
              <w:fldChar w:fldCharType="separate"/>
            </w:r>
            <w:r w:rsidR="00653362">
              <w:rPr>
                <w:noProof/>
                <w:webHidden/>
              </w:rPr>
              <w:t>7</w:t>
            </w:r>
            <w:r w:rsidR="005F7F0D" w:rsidRPr="00D11FA2">
              <w:rPr>
                <w:noProof/>
                <w:webHidden/>
              </w:rPr>
              <w:fldChar w:fldCharType="end"/>
            </w:r>
          </w:hyperlink>
        </w:p>
        <w:p w:rsidR="005F7F0D" w:rsidRPr="00D11FA2" w:rsidRDefault="00641F41" w:rsidP="005F7F0D">
          <w:pPr>
            <w:pStyle w:val="TOC2"/>
            <w:rPr>
              <w:rFonts w:eastAsiaTheme="minorEastAsia" w:cstheme="minorBidi"/>
              <w:b w:val="0"/>
              <w:bCs w:val="0"/>
              <w:noProof/>
              <w:sz w:val="24"/>
              <w:szCs w:val="24"/>
            </w:rPr>
          </w:pPr>
          <w:hyperlink w:anchor="_Toc511640361" w:history="1">
            <w:r w:rsidR="005F7F0D" w:rsidRPr="00D11FA2">
              <w:rPr>
                <w:rStyle w:val="Hyperlink"/>
                <w:noProof/>
              </w:rPr>
              <w:t>Learning from past experience</w:t>
            </w:r>
            <w:r w:rsidR="005F7F0D" w:rsidRPr="00D11FA2">
              <w:rPr>
                <w:noProof/>
                <w:webHidden/>
              </w:rPr>
              <w:tab/>
            </w:r>
            <w:r w:rsidR="005F7F0D" w:rsidRPr="00D11FA2">
              <w:rPr>
                <w:noProof/>
                <w:webHidden/>
              </w:rPr>
              <w:fldChar w:fldCharType="begin"/>
            </w:r>
            <w:r w:rsidR="005F7F0D" w:rsidRPr="00D11FA2">
              <w:rPr>
                <w:noProof/>
                <w:webHidden/>
              </w:rPr>
              <w:instrText xml:space="preserve"> PAGEREF _Toc511640361 \h </w:instrText>
            </w:r>
            <w:r w:rsidR="005F7F0D" w:rsidRPr="00D11FA2">
              <w:rPr>
                <w:noProof/>
                <w:webHidden/>
              </w:rPr>
            </w:r>
            <w:r w:rsidR="005F7F0D" w:rsidRPr="00D11FA2">
              <w:rPr>
                <w:noProof/>
                <w:webHidden/>
              </w:rPr>
              <w:fldChar w:fldCharType="separate"/>
            </w:r>
            <w:r w:rsidR="00653362">
              <w:rPr>
                <w:noProof/>
                <w:webHidden/>
              </w:rPr>
              <w:t>9</w:t>
            </w:r>
            <w:r w:rsidR="005F7F0D" w:rsidRPr="00D11FA2">
              <w:rPr>
                <w:noProof/>
                <w:webHidden/>
              </w:rPr>
              <w:fldChar w:fldCharType="end"/>
            </w:r>
          </w:hyperlink>
        </w:p>
        <w:p w:rsidR="005F7F0D" w:rsidRPr="00D11FA2" w:rsidRDefault="00641F41" w:rsidP="005F7F0D">
          <w:pPr>
            <w:pStyle w:val="TOC2"/>
            <w:rPr>
              <w:rFonts w:eastAsiaTheme="minorEastAsia" w:cstheme="minorBidi"/>
              <w:b w:val="0"/>
              <w:bCs w:val="0"/>
              <w:noProof/>
              <w:sz w:val="24"/>
              <w:szCs w:val="24"/>
            </w:rPr>
          </w:pPr>
          <w:hyperlink w:anchor="_Toc511640362" w:history="1">
            <w:r w:rsidR="005F7F0D" w:rsidRPr="00D11FA2">
              <w:rPr>
                <w:rStyle w:val="Hyperlink"/>
                <w:noProof/>
              </w:rPr>
              <w:t>Programmes in Iraq as a model</w:t>
            </w:r>
            <w:r w:rsidR="005F7F0D" w:rsidRPr="00D11FA2">
              <w:rPr>
                <w:noProof/>
                <w:webHidden/>
              </w:rPr>
              <w:tab/>
            </w:r>
            <w:r w:rsidR="005F7F0D" w:rsidRPr="00D11FA2">
              <w:rPr>
                <w:noProof/>
                <w:webHidden/>
              </w:rPr>
              <w:fldChar w:fldCharType="begin"/>
            </w:r>
            <w:r w:rsidR="005F7F0D" w:rsidRPr="00D11FA2">
              <w:rPr>
                <w:noProof/>
                <w:webHidden/>
              </w:rPr>
              <w:instrText xml:space="preserve"> PAGEREF _Toc511640362 \h </w:instrText>
            </w:r>
            <w:r w:rsidR="005F7F0D" w:rsidRPr="00D11FA2">
              <w:rPr>
                <w:noProof/>
                <w:webHidden/>
              </w:rPr>
            </w:r>
            <w:r w:rsidR="005F7F0D" w:rsidRPr="00D11FA2">
              <w:rPr>
                <w:noProof/>
                <w:webHidden/>
              </w:rPr>
              <w:fldChar w:fldCharType="separate"/>
            </w:r>
            <w:r w:rsidR="00653362">
              <w:rPr>
                <w:noProof/>
                <w:webHidden/>
              </w:rPr>
              <w:t>11</w:t>
            </w:r>
            <w:r w:rsidR="005F7F0D" w:rsidRPr="00D11FA2">
              <w:rPr>
                <w:noProof/>
                <w:webHidden/>
              </w:rPr>
              <w:fldChar w:fldCharType="end"/>
            </w:r>
          </w:hyperlink>
        </w:p>
        <w:p w:rsidR="005F7F0D" w:rsidRPr="00D11FA2" w:rsidRDefault="00641F41" w:rsidP="005F7F0D">
          <w:pPr>
            <w:pStyle w:val="TOC2"/>
            <w:rPr>
              <w:rFonts w:eastAsiaTheme="minorEastAsia" w:cstheme="minorBidi"/>
              <w:b w:val="0"/>
              <w:bCs w:val="0"/>
              <w:noProof/>
              <w:sz w:val="24"/>
              <w:szCs w:val="24"/>
            </w:rPr>
          </w:pPr>
          <w:hyperlink w:anchor="_Toc511640363" w:history="1">
            <w:r w:rsidR="005F7F0D" w:rsidRPr="00D11FA2">
              <w:rPr>
                <w:rStyle w:val="Hyperlink"/>
                <w:noProof/>
              </w:rPr>
              <w:t>The CBRN Risk Mitigation Centres of Excellence model</w:t>
            </w:r>
            <w:r w:rsidR="005F7F0D" w:rsidRPr="00D11FA2">
              <w:rPr>
                <w:noProof/>
                <w:webHidden/>
              </w:rPr>
              <w:tab/>
            </w:r>
            <w:r w:rsidR="005F7F0D" w:rsidRPr="00D11FA2">
              <w:rPr>
                <w:noProof/>
                <w:webHidden/>
              </w:rPr>
              <w:fldChar w:fldCharType="begin"/>
            </w:r>
            <w:r w:rsidR="005F7F0D" w:rsidRPr="00D11FA2">
              <w:rPr>
                <w:noProof/>
                <w:webHidden/>
              </w:rPr>
              <w:instrText xml:space="preserve"> PAGEREF _Toc511640363 \h </w:instrText>
            </w:r>
            <w:r w:rsidR="005F7F0D" w:rsidRPr="00D11FA2">
              <w:rPr>
                <w:noProof/>
                <w:webHidden/>
              </w:rPr>
            </w:r>
            <w:r w:rsidR="005F7F0D" w:rsidRPr="00D11FA2">
              <w:rPr>
                <w:noProof/>
                <w:webHidden/>
              </w:rPr>
              <w:fldChar w:fldCharType="separate"/>
            </w:r>
            <w:r w:rsidR="00653362">
              <w:rPr>
                <w:noProof/>
                <w:webHidden/>
              </w:rPr>
              <w:t>12</w:t>
            </w:r>
            <w:r w:rsidR="005F7F0D" w:rsidRPr="00D11FA2">
              <w:rPr>
                <w:noProof/>
                <w:webHidden/>
              </w:rPr>
              <w:fldChar w:fldCharType="end"/>
            </w:r>
          </w:hyperlink>
        </w:p>
        <w:p w:rsidR="005F7F0D" w:rsidRPr="00D11FA2" w:rsidRDefault="00641F41" w:rsidP="005F7F0D">
          <w:pPr>
            <w:pStyle w:val="TOC2"/>
            <w:rPr>
              <w:rFonts w:eastAsiaTheme="minorEastAsia" w:cstheme="minorBidi"/>
              <w:b w:val="0"/>
              <w:bCs w:val="0"/>
              <w:noProof/>
              <w:sz w:val="24"/>
              <w:szCs w:val="24"/>
            </w:rPr>
          </w:pPr>
          <w:hyperlink w:anchor="_Toc511640364" w:history="1">
            <w:r w:rsidR="005F7F0D" w:rsidRPr="00D11FA2">
              <w:rPr>
                <w:rStyle w:val="Hyperlink"/>
                <w:noProof/>
              </w:rPr>
              <w:t>Other voluntary cooperation and engagement models</w:t>
            </w:r>
            <w:r w:rsidR="005F7F0D" w:rsidRPr="00D11FA2">
              <w:rPr>
                <w:noProof/>
                <w:webHidden/>
              </w:rPr>
              <w:tab/>
            </w:r>
            <w:r w:rsidR="005F7F0D" w:rsidRPr="00D11FA2">
              <w:rPr>
                <w:noProof/>
                <w:webHidden/>
              </w:rPr>
              <w:fldChar w:fldCharType="begin"/>
            </w:r>
            <w:r w:rsidR="005F7F0D" w:rsidRPr="00D11FA2">
              <w:rPr>
                <w:noProof/>
                <w:webHidden/>
              </w:rPr>
              <w:instrText xml:space="preserve"> PAGEREF _Toc511640364 \h </w:instrText>
            </w:r>
            <w:r w:rsidR="005F7F0D" w:rsidRPr="00D11FA2">
              <w:rPr>
                <w:noProof/>
                <w:webHidden/>
              </w:rPr>
            </w:r>
            <w:r w:rsidR="005F7F0D" w:rsidRPr="00D11FA2">
              <w:rPr>
                <w:noProof/>
                <w:webHidden/>
              </w:rPr>
              <w:fldChar w:fldCharType="separate"/>
            </w:r>
            <w:r w:rsidR="00653362">
              <w:rPr>
                <w:noProof/>
                <w:webHidden/>
              </w:rPr>
              <w:t>13</w:t>
            </w:r>
            <w:r w:rsidR="005F7F0D" w:rsidRPr="00D11FA2">
              <w:rPr>
                <w:noProof/>
                <w:webHidden/>
              </w:rPr>
              <w:fldChar w:fldCharType="end"/>
            </w:r>
          </w:hyperlink>
        </w:p>
        <w:p w:rsidR="005F7F0D" w:rsidRPr="00073A51" w:rsidRDefault="00641F41" w:rsidP="005F7F0D">
          <w:pPr>
            <w:pStyle w:val="TOC1"/>
            <w:tabs>
              <w:tab w:val="right" w:leader="dot" w:pos="9016"/>
            </w:tabs>
            <w:rPr>
              <w:rFonts w:eastAsiaTheme="minorEastAsia" w:cstheme="minorBidi"/>
              <w:b w:val="0"/>
              <w:bCs w:val="0"/>
              <w:i w:val="0"/>
              <w:iCs w:val="0"/>
              <w:noProof/>
            </w:rPr>
          </w:pPr>
          <w:hyperlink w:anchor="_Toc511640365" w:history="1">
            <w:r w:rsidR="005F7F0D" w:rsidRPr="00073A51">
              <w:rPr>
                <w:rStyle w:val="Hyperlink"/>
                <w:noProof/>
              </w:rPr>
              <w:t>Conclusions and recommendations</w:t>
            </w:r>
            <w:r w:rsidR="005F7F0D" w:rsidRPr="00073A51">
              <w:rPr>
                <w:noProof/>
                <w:webHidden/>
              </w:rPr>
              <w:tab/>
            </w:r>
            <w:r w:rsidR="005F7F0D" w:rsidRPr="00073A51">
              <w:rPr>
                <w:noProof/>
                <w:webHidden/>
              </w:rPr>
              <w:fldChar w:fldCharType="begin"/>
            </w:r>
            <w:r w:rsidR="005F7F0D" w:rsidRPr="00D11FA2">
              <w:rPr>
                <w:noProof/>
                <w:webHidden/>
              </w:rPr>
              <w:instrText xml:space="preserve"> PAGEREF _Toc511640365 \h </w:instrText>
            </w:r>
            <w:r w:rsidR="005F7F0D" w:rsidRPr="00073A51">
              <w:rPr>
                <w:noProof/>
                <w:webHidden/>
              </w:rPr>
            </w:r>
            <w:r w:rsidR="005F7F0D" w:rsidRPr="00073A51">
              <w:rPr>
                <w:noProof/>
                <w:webHidden/>
              </w:rPr>
              <w:fldChar w:fldCharType="separate"/>
            </w:r>
            <w:r w:rsidR="00653362">
              <w:rPr>
                <w:noProof/>
                <w:webHidden/>
              </w:rPr>
              <w:t>15</w:t>
            </w:r>
            <w:r w:rsidR="005F7F0D" w:rsidRPr="00073A51">
              <w:rPr>
                <w:noProof/>
                <w:webHidden/>
              </w:rPr>
              <w:fldChar w:fldCharType="end"/>
            </w:r>
          </w:hyperlink>
        </w:p>
        <w:p w:rsidR="005F7F0D" w:rsidRPr="00073A51" w:rsidRDefault="005F7F0D" w:rsidP="005F7F0D">
          <w:r w:rsidRPr="00073A51">
            <w:rPr>
              <w:b/>
              <w:bCs/>
              <w:noProof/>
            </w:rPr>
            <w:fldChar w:fldCharType="end"/>
          </w:r>
        </w:p>
      </w:sdtContent>
    </w:sdt>
    <w:p w:rsidR="005F7F0D" w:rsidRPr="00073A51" w:rsidRDefault="005F7F0D" w:rsidP="005F7F0D">
      <w:pPr>
        <w:rPr>
          <w:rFonts w:ascii="Times New Roman" w:hAnsi="Times New Roman" w:cs="Times New Roman"/>
          <w:sz w:val="24"/>
          <w:szCs w:val="24"/>
        </w:rPr>
      </w:pPr>
      <w:r w:rsidRPr="00073A51">
        <w:rPr>
          <w:rFonts w:ascii="Times New Roman" w:hAnsi="Times New Roman" w:cs="Times New Roman"/>
          <w:sz w:val="24"/>
          <w:szCs w:val="24"/>
        </w:rPr>
        <w:br w:type="page"/>
      </w: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374B0C">
      <w:pPr>
        <w:pStyle w:val="Heading1"/>
        <w:numPr>
          <w:ilvl w:val="0"/>
          <w:numId w:val="14"/>
        </w:numPr>
      </w:pPr>
      <w:bookmarkStart w:id="2" w:name="_Toc511640356"/>
      <w:r w:rsidRPr="00D11FA2">
        <w:t>Introduction: The Need for A Scientist’s Duty of Care 4.0</w:t>
      </w:r>
      <w:bookmarkEnd w:id="2"/>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Within the current times of the fourth industrial revolution, the scientific community has a special duty of care (i.e. a ‘duty of care 4.0’) to ensure that security aspects are accounted for in scientific thinking from the beginning of work. Such an approach is especially important when research and development include chemical, biological, radiological or nuclear (CBRN) agents and materials but also </w:t>
      </w:r>
      <w:r w:rsidR="001A4956">
        <w:rPr>
          <w:rFonts w:ascii="Times New Roman" w:hAnsi="Times New Roman" w:cs="Times New Roman"/>
          <w:sz w:val="24"/>
          <w:szCs w:val="24"/>
        </w:rPr>
        <w:t>where</w:t>
      </w:r>
      <w:r w:rsidR="001A4956" w:rsidRPr="00D11FA2">
        <w:rPr>
          <w:rFonts w:ascii="Times New Roman" w:hAnsi="Times New Roman" w:cs="Times New Roman"/>
          <w:sz w:val="24"/>
          <w:szCs w:val="24"/>
        </w:rPr>
        <w:t xml:space="preserve"> </w:t>
      </w:r>
      <w:r w:rsidRPr="00D11FA2">
        <w:rPr>
          <w:rFonts w:ascii="Times New Roman" w:hAnsi="Times New Roman" w:cs="Times New Roman"/>
          <w:sz w:val="24"/>
          <w:szCs w:val="24"/>
        </w:rPr>
        <w:t>they involve new sensitive technologies</w:t>
      </w:r>
      <w:r w:rsidR="001A4956">
        <w:rPr>
          <w:rFonts w:ascii="Times New Roman" w:hAnsi="Times New Roman" w:cs="Times New Roman"/>
          <w:sz w:val="24"/>
          <w:szCs w:val="24"/>
        </w:rPr>
        <w:t>,</w:t>
      </w:r>
      <w:r w:rsidRPr="00D11FA2">
        <w:rPr>
          <w:rFonts w:ascii="Times New Roman" w:hAnsi="Times New Roman" w:cs="Times New Roman"/>
          <w:sz w:val="24"/>
          <w:szCs w:val="24"/>
        </w:rPr>
        <w:t xml:space="preserve"> such as artificial intelligence (AI).</w:t>
      </w:r>
      <w:r w:rsidRPr="00D11FA2">
        <w:t xml:space="preserve"> </w:t>
      </w:r>
      <w:r w:rsidRPr="00D11FA2">
        <w:rPr>
          <w:rFonts w:ascii="Times New Roman" w:hAnsi="Times New Roman" w:cs="Times New Roman"/>
          <w:sz w:val="24"/>
          <w:szCs w:val="24"/>
        </w:rPr>
        <w:t>New emerging technologies must remain secure and peaceful.</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The recommendations made in this paper are derived from a brief description of the current state of weapons of mass destruction (WMD) non-proliferation including setbacks perceived by the author from his time with the European Commission where he had responsibilities regarding this challenge. In making the argument for expanded bottom-up efforts, this paper does not seek to minimise the importance of the top-down (legally-binding) efforts in strengthening </w:t>
      </w:r>
      <w:r w:rsidR="001A4956">
        <w:rPr>
          <w:rFonts w:ascii="Times New Roman" w:hAnsi="Times New Roman" w:cs="Times New Roman"/>
          <w:sz w:val="24"/>
          <w:szCs w:val="24"/>
        </w:rPr>
        <w:t>WMD</w:t>
      </w:r>
      <w:r w:rsidR="001A4956" w:rsidRPr="00D11FA2">
        <w:rPr>
          <w:rFonts w:ascii="Times New Roman" w:hAnsi="Times New Roman" w:cs="Times New Roman"/>
          <w:sz w:val="24"/>
          <w:szCs w:val="24"/>
        </w:rPr>
        <w:t xml:space="preserve"> </w:t>
      </w:r>
      <w:r w:rsidRPr="00D11FA2">
        <w:rPr>
          <w:rFonts w:ascii="Times New Roman" w:hAnsi="Times New Roman" w:cs="Times New Roman"/>
          <w:sz w:val="24"/>
          <w:szCs w:val="24"/>
        </w:rPr>
        <w:t>non-proliferation. Indeed, the EU has been and must continue to be a champion and a norm-setter for such measures on the international stage</w:t>
      </w:r>
      <w:r w:rsidRPr="00073A51">
        <w:rPr>
          <w:rFonts w:ascii="Times New Roman" w:hAnsi="Times New Roman" w:cs="Times New Roman"/>
          <w:sz w:val="24"/>
          <w:szCs w:val="24"/>
        </w:rPr>
        <w:t>.  Instead, these recommendations are based on the need to recognise</w:t>
      </w:r>
      <w:r w:rsidRPr="00D11FA2">
        <w:rPr>
          <w:rFonts w:ascii="Times New Roman" w:hAnsi="Times New Roman" w:cs="Times New Roman"/>
          <w:sz w:val="24"/>
          <w:szCs w:val="24"/>
        </w:rPr>
        <w:t xml:space="preserve"> emerging challenges and to address the human dimension of the non-proliferation policies</w:t>
      </w:r>
      <w:r w:rsidR="001A4956">
        <w:rPr>
          <w:rFonts w:ascii="Times New Roman" w:hAnsi="Times New Roman" w:cs="Times New Roman"/>
          <w:sz w:val="24"/>
          <w:szCs w:val="24"/>
        </w:rPr>
        <w:t xml:space="preserve"> in connection with these challenges</w:t>
      </w:r>
      <w:r w:rsidRPr="00D11FA2">
        <w:rPr>
          <w:rFonts w:ascii="Times New Roman" w:hAnsi="Times New Roman" w:cs="Times New Roman"/>
          <w:sz w:val="24"/>
          <w:szCs w:val="24"/>
        </w:rPr>
        <w:t xml:space="preserve">.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Instead, this paper makes the case for </w:t>
      </w:r>
      <w:r w:rsidR="001A4956">
        <w:rPr>
          <w:rFonts w:ascii="Times New Roman" w:hAnsi="Times New Roman" w:cs="Times New Roman"/>
          <w:sz w:val="24"/>
          <w:szCs w:val="24"/>
        </w:rPr>
        <w:t>the</w:t>
      </w:r>
      <w:r w:rsidR="001A4956" w:rsidRPr="00D11FA2">
        <w:rPr>
          <w:rFonts w:ascii="Times New Roman" w:hAnsi="Times New Roman" w:cs="Times New Roman"/>
          <w:sz w:val="24"/>
          <w:szCs w:val="24"/>
        </w:rPr>
        <w:t xml:space="preserve"> </w:t>
      </w:r>
      <w:r w:rsidRPr="00D11FA2">
        <w:rPr>
          <w:rFonts w:ascii="Times New Roman" w:hAnsi="Times New Roman" w:cs="Times New Roman"/>
          <w:sz w:val="24"/>
          <w:szCs w:val="24"/>
        </w:rPr>
        <w:t>expanded use of ‘</w:t>
      </w:r>
      <w:r w:rsidR="001A4956">
        <w:rPr>
          <w:rFonts w:ascii="Times New Roman" w:hAnsi="Times New Roman" w:cs="Times New Roman"/>
          <w:sz w:val="24"/>
          <w:szCs w:val="24"/>
        </w:rPr>
        <w:t>S</w:t>
      </w:r>
      <w:r w:rsidRPr="00D11FA2">
        <w:rPr>
          <w:rFonts w:ascii="Times New Roman" w:hAnsi="Times New Roman" w:cs="Times New Roman"/>
          <w:sz w:val="24"/>
          <w:szCs w:val="24"/>
        </w:rPr>
        <w:t xml:space="preserve">cience </w:t>
      </w:r>
      <w:r w:rsidR="001A4956">
        <w:rPr>
          <w:rFonts w:ascii="Times New Roman" w:hAnsi="Times New Roman" w:cs="Times New Roman"/>
          <w:sz w:val="24"/>
          <w:szCs w:val="24"/>
        </w:rPr>
        <w:t>C</w:t>
      </w:r>
      <w:r w:rsidRPr="00D11FA2">
        <w:rPr>
          <w:rFonts w:ascii="Times New Roman" w:hAnsi="Times New Roman" w:cs="Times New Roman"/>
          <w:sz w:val="24"/>
          <w:szCs w:val="24"/>
        </w:rPr>
        <w:t xml:space="preserve">entres’ as a tool to promote bottom-up engagement of scientists. This paper is not alone in acknowledging the advantages of the Science Centres model, such as the International Science and Technology </w:t>
      </w:r>
      <w:proofErr w:type="spellStart"/>
      <w:r w:rsidRPr="00D11FA2">
        <w:rPr>
          <w:rFonts w:ascii="Times New Roman" w:hAnsi="Times New Roman" w:cs="Times New Roman"/>
          <w:sz w:val="24"/>
          <w:szCs w:val="24"/>
        </w:rPr>
        <w:t>Center</w:t>
      </w:r>
      <w:proofErr w:type="spellEnd"/>
      <w:r w:rsidRPr="00073A51">
        <w:rPr>
          <w:rFonts w:ascii="Times New Roman" w:hAnsi="Times New Roman" w:cs="Times New Roman"/>
          <w:sz w:val="24"/>
          <w:szCs w:val="24"/>
        </w:rPr>
        <w:t xml:space="preserve"> (ISTC)</w:t>
      </w:r>
      <w:r w:rsidR="001A4956">
        <w:rPr>
          <w:rFonts w:ascii="Times New Roman" w:hAnsi="Times New Roman" w:cs="Times New Roman"/>
          <w:sz w:val="24"/>
          <w:szCs w:val="24"/>
        </w:rPr>
        <w:t>, established in Moscow and</w:t>
      </w:r>
      <w:r w:rsidRPr="00D11FA2">
        <w:rPr>
          <w:rFonts w:ascii="Times New Roman" w:hAnsi="Times New Roman" w:cs="Times New Roman"/>
          <w:sz w:val="24"/>
          <w:szCs w:val="24"/>
        </w:rPr>
        <w:t xml:space="preserve"> currently operating in </w:t>
      </w:r>
      <w:r w:rsidRPr="00073A51">
        <w:rPr>
          <w:rFonts w:ascii="Times New Roman" w:hAnsi="Times New Roman" w:cs="Times New Roman"/>
          <w:sz w:val="24"/>
          <w:szCs w:val="24"/>
        </w:rPr>
        <w:t>Kazakhstan</w:t>
      </w:r>
      <w:r w:rsidR="001A4956">
        <w:rPr>
          <w:rFonts w:ascii="Times New Roman" w:hAnsi="Times New Roman" w:cs="Times New Roman"/>
          <w:sz w:val="24"/>
          <w:szCs w:val="24"/>
        </w:rPr>
        <w:t>,</w:t>
      </w:r>
      <w:r w:rsidRPr="00073A51" w:rsidDel="00B50F96">
        <w:rPr>
          <w:rFonts w:ascii="Times New Roman" w:hAnsi="Times New Roman" w:cs="Times New Roman"/>
          <w:sz w:val="24"/>
          <w:szCs w:val="24"/>
        </w:rPr>
        <w:t xml:space="preserve"> </w:t>
      </w:r>
      <w:r w:rsidRPr="00073A51">
        <w:rPr>
          <w:rFonts w:ascii="Times New Roman" w:hAnsi="Times New Roman" w:cs="Times New Roman"/>
          <w:sz w:val="24"/>
          <w:szCs w:val="24"/>
        </w:rPr>
        <w:t>as a tool to adapt to evolving changes in</w:t>
      </w:r>
      <w:r w:rsidRPr="00D11FA2">
        <w:rPr>
          <w:rFonts w:ascii="Times New Roman" w:hAnsi="Times New Roman" w:cs="Times New Roman"/>
          <w:sz w:val="24"/>
          <w:szCs w:val="24"/>
        </w:rPr>
        <w:t xml:space="preserve"> the security landscape.</w:t>
      </w:r>
      <w:r w:rsidRPr="00073A51">
        <w:rPr>
          <w:rStyle w:val="FootnoteReference"/>
          <w:rFonts w:ascii="Times New Roman" w:hAnsi="Times New Roman" w:cs="Times New Roman"/>
        </w:rPr>
        <w:footnoteReference w:id="2"/>
      </w:r>
      <w:r w:rsidRPr="00073A51">
        <w:rPr>
          <w:rFonts w:ascii="Times New Roman" w:hAnsi="Times New Roman" w:cs="Times New Roman"/>
          <w:sz w:val="24"/>
          <w:szCs w:val="24"/>
        </w:rPr>
        <w:t xml:space="preserve"> However, in general, the role of the Centres in promoting safety and security deserve </w:t>
      </w:r>
      <w:r w:rsidRPr="00D11FA2">
        <w:rPr>
          <w:rFonts w:ascii="Times New Roman" w:hAnsi="Times New Roman" w:cs="Times New Roman"/>
          <w:sz w:val="24"/>
          <w:szCs w:val="24"/>
        </w:rPr>
        <w:t>stronger recognition and increased financial support.</w:t>
      </w:r>
      <w:r w:rsidR="004D3250">
        <w:rPr>
          <w:rFonts w:ascii="Times New Roman" w:hAnsi="Times New Roman" w:cs="Times New Roman"/>
          <w:sz w:val="24"/>
          <w:szCs w:val="24"/>
        </w:rPr>
        <w:t xml:space="preserve">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Recently, the </w:t>
      </w:r>
      <w:r w:rsidR="001A4956">
        <w:rPr>
          <w:rFonts w:ascii="Times New Roman" w:hAnsi="Times New Roman" w:cs="Times New Roman"/>
          <w:sz w:val="24"/>
          <w:szCs w:val="24"/>
        </w:rPr>
        <w:t xml:space="preserve">existing Science </w:t>
      </w:r>
      <w:r w:rsidRPr="00D11FA2">
        <w:rPr>
          <w:rFonts w:ascii="Times New Roman" w:hAnsi="Times New Roman" w:cs="Times New Roman"/>
          <w:sz w:val="24"/>
          <w:szCs w:val="24"/>
        </w:rPr>
        <w:t xml:space="preserve">Centres </w:t>
      </w:r>
      <w:r w:rsidR="001A4956">
        <w:rPr>
          <w:rFonts w:ascii="Times New Roman" w:hAnsi="Times New Roman" w:cs="Times New Roman"/>
          <w:sz w:val="24"/>
          <w:szCs w:val="24"/>
        </w:rPr>
        <w:t xml:space="preserve">(i.e. the Kazakh-based ISTC and the Science and Technology Centre (STCU) in Kiev) </w:t>
      </w:r>
      <w:r w:rsidRPr="00D11FA2">
        <w:rPr>
          <w:rFonts w:ascii="Times New Roman" w:hAnsi="Times New Roman" w:cs="Times New Roman"/>
          <w:sz w:val="24"/>
          <w:szCs w:val="24"/>
        </w:rPr>
        <w:t xml:space="preserve">have been modernised significantly with the view to responding quickly and efficiently to the challenges ahead. For example, the legal framework of the ISTC has </w:t>
      </w:r>
      <w:r w:rsidRPr="00073A51">
        <w:rPr>
          <w:rFonts w:ascii="Times New Roman" w:hAnsi="Times New Roman" w:cs="Times New Roman"/>
          <w:sz w:val="24"/>
          <w:szCs w:val="24"/>
        </w:rPr>
        <w:t>been substantially</w:t>
      </w:r>
      <w:r w:rsidR="001A4956">
        <w:rPr>
          <w:rFonts w:ascii="Times New Roman" w:hAnsi="Times New Roman" w:cs="Times New Roman"/>
          <w:sz w:val="24"/>
          <w:szCs w:val="24"/>
        </w:rPr>
        <w:t xml:space="preserve"> revised</w:t>
      </w:r>
      <w:r w:rsidRPr="00073A51">
        <w:rPr>
          <w:rFonts w:ascii="Times New Roman" w:hAnsi="Times New Roman" w:cs="Times New Roman"/>
          <w:sz w:val="24"/>
          <w:szCs w:val="24"/>
        </w:rPr>
        <w:t>, allowing for th</w:t>
      </w:r>
      <w:r w:rsidRPr="00D11FA2">
        <w:rPr>
          <w:rFonts w:ascii="Times New Roman" w:hAnsi="Times New Roman" w:cs="Times New Roman"/>
          <w:sz w:val="24"/>
          <w:szCs w:val="24"/>
        </w:rPr>
        <w:t>e organisation to work globally. The international community should make use of the opportunities that these transformations provide.</w:t>
      </w:r>
      <w:r w:rsidRPr="00D11FA2">
        <w:t xml:space="preserve">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Other flexible forms of cooperation and engagement at </w:t>
      </w:r>
      <w:r w:rsidR="001A4956">
        <w:rPr>
          <w:rFonts w:ascii="Times New Roman" w:hAnsi="Times New Roman" w:cs="Times New Roman"/>
          <w:sz w:val="24"/>
          <w:szCs w:val="24"/>
        </w:rPr>
        <w:t>the</w:t>
      </w:r>
      <w:r w:rsidR="001A4956" w:rsidRPr="00D11FA2">
        <w:rPr>
          <w:rFonts w:ascii="Times New Roman" w:hAnsi="Times New Roman" w:cs="Times New Roman"/>
          <w:sz w:val="24"/>
          <w:szCs w:val="24"/>
        </w:rPr>
        <w:t xml:space="preserve"> </w:t>
      </w:r>
      <w:r w:rsidRPr="00D11FA2">
        <w:rPr>
          <w:rFonts w:ascii="Times New Roman" w:hAnsi="Times New Roman" w:cs="Times New Roman"/>
          <w:sz w:val="24"/>
          <w:szCs w:val="24"/>
        </w:rPr>
        <w:t>expert grassroots</w:t>
      </w:r>
      <w:r w:rsidRPr="00073A51">
        <w:rPr>
          <w:rFonts w:ascii="Times New Roman" w:hAnsi="Times New Roman" w:cs="Times New Roman"/>
          <w:sz w:val="24"/>
          <w:szCs w:val="24"/>
        </w:rPr>
        <w:t xml:space="preserve"> level have </w:t>
      </w:r>
      <w:r w:rsidR="001A4956">
        <w:rPr>
          <w:rFonts w:ascii="Times New Roman" w:hAnsi="Times New Roman" w:cs="Times New Roman"/>
          <w:sz w:val="24"/>
          <w:szCs w:val="24"/>
        </w:rPr>
        <w:t xml:space="preserve">also </w:t>
      </w:r>
      <w:r w:rsidRPr="00073A51">
        <w:rPr>
          <w:rFonts w:ascii="Times New Roman" w:hAnsi="Times New Roman" w:cs="Times New Roman"/>
          <w:sz w:val="24"/>
          <w:szCs w:val="24"/>
        </w:rPr>
        <w:t>reduced risks and threats</w:t>
      </w:r>
      <w:r w:rsidRPr="00D11FA2">
        <w:rPr>
          <w:rFonts w:ascii="Times New Roman" w:hAnsi="Times New Roman" w:cs="Times New Roman"/>
          <w:sz w:val="24"/>
          <w:szCs w:val="24"/>
        </w:rPr>
        <w:t>. One such programme, functioning on a voluntary basis, is the EU’s CBRN Centres of Excellence Risk Mitigation Initiative. Th</w:t>
      </w:r>
      <w:r w:rsidR="001A4956">
        <w:rPr>
          <w:rFonts w:ascii="Times New Roman" w:hAnsi="Times New Roman" w:cs="Times New Roman"/>
          <w:sz w:val="24"/>
          <w:szCs w:val="24"/>
        </w:rPr>
        <w:t>is</w:t>
      </w:r>
      <w:r w:rsidRPr="00D11FA2">
        <w:rPr>
          <w:rFonts w:ascii="Times New Roman" w:hAnsi="Times New Roman" w:cs="Times New Roman"/>
          <w:sz w:val="24"/>
          <w:szCs w:val="24"/>
        </w:rPr>
        <w:t xml:space="preserve"> program</w:t>
      </w:r>
      <w:r w:rsidR="001A4956">
        <w:rPr>
          <w:rFonts w:ascii="Times New Roman" w:hAnsi="Times New Roman" w:cs="Times New Roman"/>
          <w:sz w:val="24"/>
          <w:szCs w:val="24"/>
        </w:rPr>
        <w:t>me</w:t>
      </w:r>
      <w:r w:rsidRPr="00D11FA2">
        <w:rPr>
          <w:rFonts w:ascii="Times New Roman" w:hAnsi="Times New Roman" w:cs="Times New Roman"/>
          <w:sz w:val="24"/>
          <w:szCs w:val="24"/>
        </w:rPr>
        <w:t xml:space="preserve"> </w:t>
      </w:r>
      <w:r w:rsidR="001A4956">
        <w:rPr>
          <w:rFonts w:ascii="Times New Roman" w:hAnsi="Times New Roman" w:cs="Times New Roman"/>
          <w:sz w:val="24"/>
          <w:szCs w:val="24"/>
        </w:rPr>
        <w:t xml:space="preserve">also </w:t>
      </w:r>
      <w:r w:rsidRPr="00D11FA2">
        <w:rPr>
          <w:rFonts w:ascii="Times New Roman" w:hAnsi="Times New Roman" w:cs="Times New Roman"/>
          <w:sz w:val="24"/>
          <w:szCs w:val="24"/>
        </w:rPr>
        <w:t xml:space="preserve">merits further strengthening to enable activities on a wider geographical scale. There is a case to </w:t>
      </w:r>
      <w:r w:rsidR="001A4956">
        <w:rPr>
          <w:rFonts w:ascii="Times New Roman" w:hAnsi="Times New Roman" w:cs="Times New Roman"/>
          <w:sz w:val="24"/>
          <w:szCs w:val="24"/>
        </w:rPr>
        <w:t xml:space="preserve">be made </w:t>
      </w:r>
      <w:r w:rsidR="001A4956">
        <w:rPr>
          <w:rFonts w:ascii="Times New Roman" w:hAnsi="Times New Roman" w:cs="Times New Roman"/>
          <w:sz w:val="24"/>
          <w:szCs w:val="24"/>
        </w:rPr>
        <w:lastRenderedPageBreak/>
        <w:t xml:space="preserve">for </w:t>
      </w:r>
      <w:r w:rsidRPr="00D11FA2">
        <w:rPr>
          <w:rFonts w:ascii="Times New Roman" w:hAnsi="Times New Roman" w:cs="Times New Roman"/>
          <w:sz w:val="24"/>
          <w:szCs w:val="24"/>
        </w:rPr>
        <w:t>transform</w:t>
      </w:r>
      <w:r w:rsidR="001A4956">
        <w:rPr>
          <w:rFonts w:ascii="Times New Roman" w:hAnsi="Times New Roman" w:cs="Times New Roman"/>
          <w:sz w:val="24"/>
          <w:szCs w:val="24"/>
        </w:rPr>
        <w:t>ing</w:t>
      </w:r>
      <w:r w:rsidRPr="00D11FA2">
        <w:rPr>
          <w:rFonts w:ascii="Times New Roman" w:hAnsi="Times New Roman" w:cs="Times New Roman"/>
          <w:sz w:val="24"/>
          <w:szCs w:val="24"/>
        </w:rPr>
        <w:t xml:space="preserve"> the existing </w:t>
      </w:r>
      <w:r w:rsidR="00EC1D7E">
        <w:rPr>
          <w:rFonts w:ascii="Times New Roman" w:hAnsi="Times New Roman" w:cs="Times New Roman"/>
          <w:sz w:val="24"/>
          <w:szCs w:val="24"/>
        </w:rPr>
        <w:t>r</w:t>
      </w:r>
      <w:r w:rsidRPr="00D11FA2">
        <w:rPr>
          <w:rFonts w:ascii="Times New Roman" w:hAnsi="Times New Roman" w:cs="Times New Roman"/>
          <w:sz w:val="24"/>
          <w:szCs w:val="24"/>
        </w:rPr>
        <w:t xml:space="preserve">egional </w:t>
      </w:r>
      <w:r w:rsidR="00EC1D7E">
        <w:rPr>
          <w:rFonts w:ascii="Times New Roman" w:hAnsi="Times New Roman" w:cs="Times New Roman"/>
          <w:sz w:val="24"/>
          <w:szCs w:val="24"/>
        </w:rPr>
        <w:t>s</w:t>
      </w:r>
      <w:r w:rsidRPr="00D11FA2">
        <w:rPr>
          <w:rFonts w:ascii="Times New Roman" w:hAnsi="Times New Roman" w:cs="Times New Roman"/>
          <w:sz w:val="24"/>
          <w:szCs w:val="24"/>
        </w:rPr>
        <w:t xml:space="preserve">ecretariats </w:t>
      </w:r>
      <w:r w:rsidR="001A4956">
        <w:rPr>
          <w:rFonts w:ascii="Times New Roman" w:hAnsi="Times New Roman" w:cs="Times New Roman"/>
          <w:sz w:val="24"/>
          <w:szCs w:val="24"/>
        </w:rPr>
        <w:t>est</w:t>
      </w:r>
      <w:r w:rsidR="00374B0C">
        <w:rPr>
          <w:rFonts w:ascii="Times New Roman" w:hAnsi="Times New Roman" w:cs="Times New Roman"/>
          <w:sz w:val="24"/>
          <w:szCs w:val="24"/>
        </w:rPr>
        <w:t xml:space="preserve">ablished under this </w:t>
      </w:r>
      <w:r w:rsidR="00EC1D7E">
        <w:rPr>
          <w:rFonts w:ascii="Times New Roman" w:hAnsi="Times New Roman" w:cs="Times New Roman"/>
          <w:sz w:val="24"/>
          <w:szCs w:val="24"/>
        </w:rPr>
        <w:t>i</w:t>
      </w:r>
      <w:r w:rsidR="00374B0C">
        <w:rPr>
          <w:rFonts w:ascii="Times New Roman" w:hAnsi="Times New Roman" w:cs="Times New Roman"/>
          <w:sz w:val="24"/>
          <w:szCs w:val="24"/>
        </w:rPr>
        <w:t>nitiative</w:t>
      </w:r>
      <w:r w:rsidR="001A4956">
        <w:rPr>
          <w:rFonts w:ascii="Times New Roman" w:hAnsi="Times New Roman" w:cs="Times New Roman"/>
          <w:sz w:val="24"/>
          <w:szCs w:val="24"/>
        </w:rPr>
        <w:t xml:space="preserve"> </w:t>
      </w:r>
      <w:r w:rsidRPr="00D11FA2">
        <w:rPr>
          <w:rFonts w:ascii="Times New Roman" w:hAnsi="Times New Roman" w:cs="Times New Roman"/>
          <w:sz w:val="24"/>
          <w:szCs w:val="24"/>
        </w:rPr>
        <w:t xml:space="preserve">to </w:t>
      </w:r>
      <w:r w:rsidR="001A4956">
        <w:rPr>
          <w:rFonts w:ascii="Times New Roman" w:hAnsi="Times New Roman" w:cs="Times New Roman"/>
          <w:sz w:val="24"/>
          <w:szCs w:val="24"/>
        </w:rPr>
        <w:t>cover</w:t>
      </w:r>
      <w:r w:rsidRPr="00D11FA2">
        <w:rPr>
          <w:rFonts w:ascii="Times New Roman" w:hAnsi="Times New Roman" w:cs="Times New Roman"/>
          <w:sz w:val="24"/>
          <w:szCs w:val="24"/>
        </w:rPr>
        <w:t xml:space="preserve"> a wider set of security issues.</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An overview of other relevant grassroots initiatives </w:t>
      </w:r>
      <w:r w:rsidR="001A4956" w:rsidRPr="00D11FA2">
        <w:rPr>
          <w:rFonts w:ascii="Times New Roman" w:hAnsi="Times New Roman" w:cs="Times New Roman"/>
          <w:sz w:val="24"/>
          <w:szCs w:val="24"/>
        </w:rPr>
        <w:t xml:space="preserve">by academia, researchers, </w:t>
      </w:r>
      <w:r w:rsidR="001A4956">
        <w:rPr>
          <w:rFonts w:ascii="Times New Roman" w:hAnsi="Times New Roman" w:cs="Times New Roman"/>
          <w:sz w:val="24"/>
          <w:szCs w:val="24"/>
        </w:rPr>
        <w:t>industry</w:t>
      </w:r>
      <w:r w:rsidR="001A4956" w:rsidRPr="00D11FA2">
        <w:rPr>
          <w:rFonts w:ascii="Times New Roman" w:hAnsi="Times New Roman" w:cs="Times New Roman"/>
          <w:sz w:val="24"/>
          <w:szCs w:val="24"/>
        </w:rPr>
        <w:t xml:space="preserve"> and public authorities </w:t>
      </w:r>
      <w:r w:rsidRPr="00D11FA2">
        <w:rPr>
          <w:rFonts w:ascii="Times New Roman" w:hAnsi="Times New Roman" w:cs="Times New Roman"/>
          <w:sz w:val="24"/>
          <w:szCs w:val="24"/>
        </w:rPr>
        <w:t>to promote a culture of responsibility shows a mixed picture</w:t>
      </w:r>
      <w:r w:rsidR="001A4956">
        <w:rPr>
          <w:rFonts w:ascii="Times New Roman" w:hAnsi="Times New Roman" w:cs="Times New Roman"/>
          <w:sz w:val="24"/>
          <w:szCs w:val="24"/>
        </w:rPr>
        <w:t xml:space="preserve"> of success</w:t>
      </w:r>
      <w:r w:rsidRPr="00D11FA2">
        <w:rPr>
          <w:rFonts w:ascii="Times New Roman" w:hAnsi="Times New Roman" w:cs="Times New Roman"/>
          <w:sz w:val="24"/>
          <w:szCs w:val="24"/>
        </w:rPr>
        <w:t>. Therefore, the Science Centres</w:t>
      </w:r>
      <w:r w:rsidR="001A4956">
        <w:rPr>
          <w:rFonts w:ascii="Times New Roman" w:hAnsi="Times New Roman" w:cs="Times New Roman"/>
          <w:sz w:val="24"/>
          <w:szCs w:val="24"/>
        </w:rPr>
        <w:t>,</w:t>
      </w:r>
      <w:r w:rsidRPr="00D11FA2">
        <w:rPr>
          <w:rFonts w:ascii="Times New Roman" w:hAnsi="Times New Roman" w:cs="Times New Roman"/>
          <w:sz w:val="24"/>
          <w:szCs w:val="24"/>
        </w:rPr>
        <w:t xml:space="preserve"> and other programmes such as the EU CBRN Centres of Excellence Risk Mitigation </w:t>
      </w:r>
      <w:r w:rsidR="001A4956">
        <w:rPr>
          <w:rFonts w:ascii="Times New Roman" w:hAnsi="Times New Roman" w:cs="Times New Roman"/>
          <w:sz w:val="24"/>
          <w:szCs w:val="24"/>
        </w:rPr>
        <w:t>Initiative,</w:t>
      </w:r>
      <w:r w:rsidR="001A4956"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should be invited to play a more active role </w:t>
      </w:r>
      <w:r w:rsidR="001A4956">
        <w:rPr>
          <w:rFonts w:ascii="Times New Roman" w:hAnsi="Times New Roman" w:cs="Times New Roman"/>
          <w:sz w:val="24"/>
          <w:szCs w:val="24"/>
        </w:rPr>
        <w:t xml:space="preserve">in </w:t>
      </w:r>
      <w:r w:rsidRPr="00D11FA2">
        <w:rPr>
          <w:rFonts w:ascii="Times New Roman" w:hAnsi="Times New Roman" w:cs="Times New Roman"/>
          <w:sz w:val="24"/>
          <w:szCs w:val="24"/>
        </w:rPr>
        <w:t xml:space="preserve">promoting these ways of flexible cooperation. </w:t>
      </w:r>
    </w:p>
    <w:p w:rsidR="005F7F0D" w:rsidRPr="00D11FA2" w:rsidRDefault="005F7F0D" w:rsidP="001B46EC">
      <w:r w:rsidRPr="00D11FA2">
        <w:rPr>
          <w:rFonts w:ascii="Times New Roman" w:hAnsi="Times New Roman" w:cs="Times New Roman"/>
          <w:sz w:val="24"/>
          <w:szCs w:val="24"/>
        </w:rPr>
        <w:t xml:space="preserve">This paper </w:t>
      </w:r>
      <w:r w:rsidR="001A4956">
        <w:rPr>
          <w:rFonts w:ascii="Times New Roman" w:hAnsi="Times New Roman" w:cs="Times New Roman"/>
          <w:sz w:val="24"/>
          <w:szCs w:val="24"/>
        </w:rPr>
        <w:t xml:space="preserve">first </w:t>
      </w:r>
      <w:r w:rsidRPr="00D11FA2">
        <w:rPr>
          <w:rFonts w:ascii="Times New Roman" w:hAnsi="Times New Roman" w:cs="Times New Roman"/>
          <w:sz w:val="24"/>
          <w:szCs w:val="24"/>
        </w:rPr>
        <w:t xml:space="preserve">provides a perspective on the need to find new ways to deal with emerging challenges. </w:t>
      </w:r>
      <w:r w:rsidR="001A4956">
        <w:rPr>
          <w:rFonts w:ascii="Times New Roman" w:hAnsi="Times New Roman" w:cs="Times New Roman"/>
          <w:sz w:val="24"/>
          <w:szCs w:val="24"/>
        </w:rPr>
        <w:t>It then</w:t>
      </w:r>
      <w:r w:rsidRPr="00D11FA2">
        <w:rPr>
          <w:rFonts w:ascii="Times New Roman" w:hAnsi="Times New Roman" w:cs="Times New Roman"/>
          <w:sz w:val="24"/>
          <w:szCs w:val="24"/>
        </w:rPr>
        <w:t xml:space="preserve"> outlines the main instruments available to officials, including most particularly European officials, in dealing with such emerging challenges. </w:t>
      </w:r>
      <w:r w:rsidR="001A4956">
        <w:rPr>
          <w:rFonts w:ascii="Times New Roman" w:hAnsi="Times New Roman" w:cs="Times New Roman"/>
          <w:sz w:val="24"/>
          <w:szCs w:val="24"/>
        </w:rPr>
        <w:t>The paper then</w:t>
      </w:r>
      <w:r w:rsidRPr="00D11FA2">
        <w:rPr>
          <w:rFonts w:ascii="Times New Roman" w:hAnsi="Times New Roman" w:cs="Times New Roman"/>
          <w:sz w:val="24"/>
          <w:szCs w:val="24"/>
        </w:rPr>
        <w:t xml:space="preserve"> sets out what a bottom-up approach might look like drawing on experiences from engaging Iraqi WMD-related scientists. Finally, it provides practical recommendations for European officials on how to foster bottom-up approaches. </w:t>
      </w:r>
    </w:p>
    <w:p w:rsidR="005F7F0D" w:rsidRPr="00D11FA2" w:rsidRDefault="005F7F0D" w:rsidP="005F7F0D">
      <w:pPr>
        <w:pStyle w:val="Heading1"/>
      </w:pPr>
      <w:bookmarkStart w:id="3" w:name="_Toc511640357"/>
      <w:r w:rsidRPr="00D11FA2">
        <w:t>Recognising emerging challenges</w:t>
      </w:r>
      <w:bookmarkEnd w:id="3"/>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The societal benefits of scientific and technological developments are clear. Digitalisation has led to economic transformations, improved healthcare and benefits in many other sectors</w:t>
      </w:r>
      <w:r w:rsidR="001B46EC">
        <w:rPr>
          <w:rFonts w:ascii="Times New Roman" w:hAnsi="Times New Roman" w:cs="Times New Roman"/>
          <w:sz w:val="24"/>
          <w:szCs w:val="24"/>
        </w:rPr>
        <w:t>,</w:t>
      </w:r>
      <w:r w:rsidRPr="00D11FA2">
        <w:rPr>
          <w:rFonts w:ascii="Times New Roman" w:hAnsi="Times New Roman" w:cs="Times New Roman"/>
          <w:sz w:val="24"/>
          <w:szCs w:val="24"/>
        </w:rPr>
        <w:t xml:space="preserve"> such as education. However, </w:t>
      </w:r>
      <w:r w:rsidRPr="00D11FA2">
        <w:rPr>
          <w:rFonts w:ascii="Times New Roman" w:eastAsia="Times New Roman" w:hAnsi="Times New Roman" w:cs="Times New Roman"/>
          <w:sz w:val="24"/>
          <w:szCs w:val="24"/>
          <w:lang w:eastAsia="en-GB"/>
        </w:rPr>
        <w:t>whilst digital technologies have delivered vast benefits for an unprecedented number of people, they have also become associated with significant challenges the world must face.</w:t>
      </w:r>
      <w:r w:rsidRPr="00073A51">
        <w:rPr>
          <w:rStyle w:val="FootnoteReference"/>
          <w:rFonts w:ascii="Times New Roman" w:eastAsia="Times New Roman" w:hAnsi="Times New Roman" w:cs="Times New Roman"/>
          <w:color w:val="3C3C3C"/>
          <w:lang w:eastAsia="en-GB"/>
        </w:rPr>
        <w:footnoteReference w:id="3"/>
      </w:r>
      <w:r w:rsidRPr="00073A51">
        <w:rPr>
          <w:rFonts w:ascii="Times New Roman" w:hAnsi="Times New Roman" w:cs="Times New Roman"/>
          <w:sz w:val="24"/>
          <w:szCs w:val="24"/>
        </w:rPr>
        <w:t xml:space="preserve"> These challenges are particularly acute in the security domain</w:t>
      </w:r>
      <w:r w:rsidRPr="00D11FA2">
        <w:rPr>
          <w:rFonts w:ascii="Times New Roman" w:hAnsi="Times New Roman" w:cs="Times New Roman"/>
          <w:sz w:val="24"/>
          <w:szCs w:val="24"/>
        </w:rPr>
        <w:t>, especially if chemical, biological, radiological or nuclear (CBRN) agents and materials are involved. For example, synthetic biology supports the development of new medical solutions</w:t>
      </w:r>
      <w:r w:rsidR="001B46EC">
        <w:rPr>
          <w:rFonts w:ascii="Times New Roman" w:hAnsi="Times New Roman" w:cs="Times New Roman"/>
          <w:sz w:val="24"/>
          <w:szCs w:val="24"/>
        </w:rPr>
        <w:t>,</w:t>
      </w:r>
      <w:r w:rsidRPr="00D11FA2">
        <w:rPr>
          <w:rFonts w:ascii="Times New Roman" w:hAnsi="Times New Roman" w:cs="Times New Roman"/>
          <w:sz w:val="24"/>
          <w:szCs w:val="24"/>
        </w:rPr>
        <w:t xml:space="preserve"> but also raises the possibility of new man-made pathogens.</w:t>
      </w:r>
    </w:p>
    <w:p w:rsidR="005F7F0D" w:rsidRPr="00073A51"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Expanding global trade and interconnected data networks also increases the opportunities for state and non-state actors to acquire dual-use equipment and technology.</w:t>
      </w:r>
      <w:r w:rsidRPr="00073A51">
        <w:rPr>
          <w:rStyle w:val="FootnoteReference"/>
          <w:rFonts w:ascii="Times New Roman" w:hAnsi="Times New Roman" w:cs="Times New Roman"/>
        </w:rPr>
        <w:footnoteReference w:id="4"/>
      </w:r>
      <w:r w:rsidRPr="00073A51">
        <w:rPr>
          <w:rFonts w:ascii="Times New Roman" w:hAnsi="Times New Roman" w:cs="Times New Roman"/>
          <w:sz w:val="24"/>
          <w:szCs w:val="24"/>
        </w:rPr>
        <w:t xml:space="preserve"> These threats and trends are exacerbated by rapidly</w:t>
      </w:r>
      <w:r w:rsidRPr="00D11FA2">
        <w:rPr>
          <w:rFonts w:ascii="Times New Roman" w:hAnsi="Times New Roman" w:cs="Times New Roman"/>
          <w:sz w:val="24"/>
          <w:szCs w:val="24"/>
        </w:rPr>
        <w:t>-changing technologies (e.g., additive manufacturing, powerful computer-aided design applications and cyber-attack tools) and greater diffusion of dual-use knowledge that may provide proliferators easier access to WMD capabilities. Moreover, increased intangible technology transfers</w:t>
      </w:r>
      <w:r w:rsidR="001B46EC">
        <w:rPr>
          <w:rFonts w:ascii="Times New Roman" w:hAnsi="Times New Roman" w:cs="Times New Roman"/>
          <w:sz w:val="24"/>
          <w:szCs w:val="24"/>
        </w:rPr>
        <w:t>, such as the</w:t>
      </w:r>
      <w:r w:rsidRPr="00D11FA2">
        <w:rPr>
          <w:rFonts w:ascii="Times New Roman" w:hAnsi="Times New Roman" w:cs="Times New Roman"/>
          <w:sz w:val="24"/>
          <w:szCs w:val="24"/>
        </w:rPr>
        <w:t xml:space="preserve"> transmission of software and technology by electronic data</w:t>
      </w:r>
      <w:r w:rsidR="001B46EC">
        <w:rPr>
          <w:rFonts w:ascii="Times New Roman" w:hAnsi="Times New Roman" w:cs="Times New Roman"/>
          <w:sz w:val="24"/>
          <w:szCs w:val="24"/>
        </w:rPr>
        <w:t>,</w:t>
      </w:r>
      <w:r w:rsidRPr="00D11FA2">
        <w:rPr>
          <w:rFonts w:ascii="Times New Roman" w:hAnsi="Times New Roman" w:cs="Times New Roman"/>
          <w:sz w:val="24"/>
          <w:szCs w:val="24"/>
        </w:rPr>
        <w:t xml:space="preserve"> including brokering and transit</w:t>
      </w:r>
      <w:r w:rsidR="001B46EC">
        <w:rPr>
          <w:rFonts w:ascii="Times New Roman" w:hAnsi="Times New Roman" w:cs="Times New Roman"/>
          <w:sz w:val="24"/>
          <w:szCs w:val="24"/>
        </w:rPr>
        <w:t>,</w:t>
      </w:r>
      <w:r w:rsidRPr="00D11FA2">
        <w:rPr>
          <w:rFonts w:ascii="Times New Roman" w:hAnsi="Times New Roman" w:cs="Times New Roman"/>
          <w:sz w:val="24"/>
          <w:szCs w:val="24"/>
        </w:rPr>
        <w:t xml:space="preserve"> pose new challenges for verification and control.</w:t>
      </w:r>
      <w:r w:rsidRPr="00073A51">
        <w:rPr>
          <w:rStyle w:val="FootnoteReference"/>
          <w:rFonts w:ascii="Times New Roman" w:hAnsi="Times New Roman" w:cs="Times New Roman"/>
        </w:rPr>
        <w:footnoteReference w:id="5"/>
      </w:r>
      <w:r w:rsidRPr="00073A51">
        <w:rPr>
          <w:rFonts w:ascii="Times New Roman" w:hAnsi="Times New Roman" w:cs="Times New Roman"/>
          <w:sz w:val="24"/>
          <w:szCs w:val="24"/>
        </w:rPr>
        <w:t xml:space="preserve"> </w:t>
      </w:r>
    </w:p>
    <w:p w:rsidR="005F7F0D" w:rsidRPr="00073A51" w:rsidRDefault="005F7F0D" w:rsidP="005F7F0D">
      <w:pPr>
        <w:rPr>
          <w:rFonts w:ascii="Times New Roman" w:hAnsi="Times New Roman" w:cs="Times New Roman"/>
          <w:sz w:val="24"/>
          <w:szCs w:val="24"/>
        </w:rPr>
      </w:pPr>
      <w:r w:rsidRPr="00073A51">
        <w:rPr>
          <w:rFonts w:ascii="Times New Roman" w:hAnsi="Times New Roman" w:cs="Times New Roman"/>
          <w:sz w:val="24"/>
          <w:szCs w:val="24"/>
        </w:rPr>
        <w:t>As an example, in recent years, researchers have achieved key milestones in</w:t>
      </w:r>
      <w:r w:rsidRPr="00D11FA2">
        <w:rPr>
          <w:rFonts w:ascii="Times New Roman" w:hAnsi="Times New Roman" w:cs="Times New Roman"/>
          <w:sz w:val="24"/>
          <w:szCs w:val="24"/>
        </w:rPr>
        <w:t xml:space="preserve"> AI technology significantly earlier than predicted in prior projections. Th</w:t>
      </w:r>
      <w:r w:rsidR="001B46EC">
        <w:rPr>
          <w:rFonts w:ascii="Times New Roman" w:hAnsi="Times New Roman" w:cs="Times New Roman"/>
          <w:sz w:val="24"/>
          <w:szCs w:val="24"/>
        </w:rPr>
        <w:t>is</w:t>
      </w:r>
      <w:r w:rsidRPr="00D11FA2">
        <w:rPr>
          <w:rFonts w:ascii="Times New Roman" w:hAnsi="Times New Roman" w:cs="Times New Roman"/>
          <w:sz w:val="24"/>
          <w:szCs w:val="24"/>
        </w:rPr>
        <w:t xml:space="preserve"> rapid progress is likely to have an impact on national and international security. Special attention </w:t>
      </w:r>
      <w:r w:rsidR="001B46EC">
        <w:rPr>
          <w:rFonts w:ascii="Times New Roman" w:hAnsi="Times New Roman" w:cs="Times New Roman"/>
          <w:sz w:val="24"/>
          <w:szCs w:val="24"/>
        </w:rPr>
        <w:t>has been</w:t>
      </w:r>
      <w:r w:rsidR="001B46EC" w:rsidRPr="00D11FA2">
        <w:rPr>
          <w:rFonts w:ascii="Times New Roman" w:hAnsi="Times New Roman" w:cs="Times New Roman"/>
          <w:sz w:val="24"/>
          <w:szCs w:val="24"/>
        </w:rPr>
        <w:t xml:space="preserve"> </w:t>
      </w:r>
      <w:r w:rsidRPr="00D11FA2">
        <w:rPr>
          <w:rFonts w:ascii="Times New Roman" w:hAnsi="Times New Roman" w:cs="Times New Roman"/>
          <w:sz w:val="24"/>
          <w:szCs w:val="24"/>
        </w:rPr>
        <w:t>drawn</w:t>
      </w:r>
      <w:r w:rsidR="00EC1D7E">
        <w:rPr>
          <w:rFonts w:ascii="Times New Roman" w:hAnsi="Times New Roman" w:cs="Times New Roman"/>
          <w:sz w:val="24"/>
          <w:szCs w:val="24"/>
        </w:rPr>
        <w:t xml:space="preserve"> by</w:t>
      </w:r>
      <w:r w:rsidRPr="00D11FA2">
        <w:rPr>
          <w:rFonts w:ascii="Times New Roman" w:hAnsi="Times New Roman" w:cs="Times New Roman"/>
          <w:sz w:val="24"/>
          <w:szCs w:val="24"/>
        </w:rPr>
        <w:t xml:space="preserve"> </w:t>
      </w:r>
      <w:r w:rsidR="001B46EC">
        <w:rPr>
          <w:rFonts w:ascii="Times New Roman" w:hAnsi="Times New Roman" w:cs="Times New Roman"/>
          <w:sz w:val="24"/>
          <w:szCs w:val="24"/>
        </w:rPr>
        <w:t xml:space="preserve">a group of experts from </w:t>
      </w:r>
      <w:r w:rsidRPr="00D11FA2">
        <w:rPr>
          <w:rFonts w:ascii="Times New Roman" w:hAnsi="Times New Roman" w:cs="Times New Roman"/>
          <w:sz w:val="24"/>
          <w:szCs w:val="24"/>
        </w:rPr>
        <w:t>the scientific community to the dramatic impact of a new kind of warfare of unmanned ground or aerial vehicles (UAVs) based on the use of AI technologies.</w:t>
      </w:r>
      <w:r w:rsidRPr="00073A51">
        <w:rPr>
          <w:rStyle w:val="FootnoteReference"/>
          <w:rFonts w:ascii="Times New Roman" w:hAnsi="Times New Roman" w:cs="Times New Roman"/>
        </w:rPr>
        <w:footnoteReference w:id="6"/>
      </w:r>
      <w:r w:rsidRPr="00073A51">
        <w:rPr>
          <w:rFonts w:ascii="Times New Roman" w:hAnsi="Times New Roman" w:cs="Times New Roman"/>
          <w:sz w:val="24"/>
          <w:szCs w:val="24"/>
        </w:rPr>
        <w:t xml:space="preserve"> In this </w:t>
      </w:r>
      <w:r w:rsidRPr="00073A51">
        <w:rPr>
          <w:rFonts w:ascii="Times New Roman" w:hAnsi="Times New Roman" w:cs="Times New Roman"/>
          <w:sz w:val="24"/>
          <w:szCs w:val="24"/>
        </w:rPr>
        <w:lastRenderedPageBreak/>
        <w:t>context, an important 'brea</w:t>
      </w:r>
      <w:r w:rsidR="00374B0C">
        <w:rPr>
          <w:rFonts w:ascii="Times New Roman" w:hAnsi="Times New Roman" w:cs="Times New Roman"/>
          <w:sz w:val="24"/>
          <w:szCs w:val="24"/>
        </w:rPr>
        <w:t>kthrough' was the first case o</w:t>
      </w:r>
      <w:r w:rsidRPr="00073A51">
        <w:rPr>
          <w:rFonts w:ascii="Times New Roman" w:hAnsi="Times New Roman" w:cs="Times New Roman"/>
          <w:sz w:val="24"/>
          <w:szCs w:val="24"/>
        </w:rPr>
        <w:t xml:space="preserve">f </w:t>
      </w:r>
      <w:r w:rsidR="001B46EC">
        <w:rPr>
          <w:rFonts w:ascii="Times New Roman" w:hAnsi="Times New Roman" w:cs="Times New Roman"/>
          <w:sz w:val="24"/>
          <w:szCs w:val="24"/>
        </w:rPr>
        <w:t xml:space="preserve">an attack using </w:t>
      </w:r>
      <w:r w:rsidR="001B46EC" w:rsidRPr="00073A51">
        <w:rPr>
          <w:rFonts w:ascii="Times New Roman" w:hAnsi="Times New Roman" w:cs="Times New Roman"/>
          <w:sz w:val="24"/>
          <w:szCs w:val="24"/>
        </w:rPr>
        <w:t>a swarm o</w:t>
      </w:r>
      <w:r w:rsidR="001B46EC">
        <w:rPr>
          <w:rFonts w:ascii="Times New Roman" w:hAnsi="Times New Roman" w:cs="Times New Roman"/>
          <w:sz w:val="24"/>
          <w:szCs w:val="24"/>
        </w:rPr>
        <w:t xml:space="preserve">f </w:t>
      </w:r>
      <w:r w:rsidRPr="00073A51">
        <w:rPr>
          <w:rFonts w:ascii="Times New Roman" w:hAnsi="Times New Roman" w:cs="Times New Roman"/>
          <w:sz w:val="24"/>
          <w:szCs w:val="24"/>
        </w:rPr>
        <w:t>drones loaded with explosives that allegedly took place in Syria in January 2018.</w:t>
      </w:r>
      <w:r w:rsidRPr="00073A51">
        <w:rPr>
          <w:rStyle w:val="FootnoteReference"/>
          <w:rFonts w:ascii="Times New Roman" w:hAnsi="Times New Roman" w:cs="Times New Roman"/>
        </w:rPr>
        <w:footnoteReference w:id="7"/>
      </w:r>
      <w:r w:rsidRPr="00073A51">
        <w:rPr>
          <w:rFonts w:ascii="Times New Roman" w:hAnsi="Times New Roman" w:cs="Times New Roman"/>
          <w:sz w:val="24"/>
          <w:szCs w:val="24"/>
        </w:rPr>
        <w:t xml:space="preserve"> </w:t>
      </w:r>
    </w:p>
    <w:p w:rsidR="005F7F0D" w:rsidRPr="00D11FA2" w:rsidRDefault="001B46EC" w:rsidP="005F7F0D">
      <w:pPr>
        <w:rPr>
          <w:rFonts w:ascii="Times New Roman" w:hAnsi="Times New Roman" w:cs="Times New Roman"/>
          <w:sz w:val="24"/>
          <w:szCs w:val="24"/>
        </w:rPr>
      </w:pPr>
      <w:r>
        <w:rPr>
          <w:rFonts w:ascii="Times New Roman" w:hAnsi="Times New Roman" w:cs="Times New Roman"/>
          <w:sz w:val="24"/>
          <w:szCs w:val="24"/>
        </w:rPr>
        <w:t>The group of scientific experts</w:t>
      </w:r>
      <w:r w:rsidR="005F7F0D" w:rsidRPr="00073A51">
        <w:rPr>
          <w:rFonts w:ascii="Times New Roman" w:hAnsi="Times New Roman" w:cs="Times New Roman"/>
          <w:sz w:val="24"/>
          <w:szCs w:val="24"/>
        </w:rPr>
        <w:t xml:space="preserve"> issued the following recommendations outlining </w:t>
      </w:r>
      <w:r>
        <w:rPr>
          <w:rFonts w:ascii="Times New Roman" w:hAnsi="Times New Roman" w:cs="Times New Roman"/>
          <w:sz w:val="24"/>
          <w:szCs w:val="24"/>
        </w:rPr>
        <w:t xml:space="preserve">possible </w:t>
      </w:r>
      <w:r w:rsidR="005F7F0D" w:rsidRPr="00073A51">
        <w:rPr>
          <w:rFonts w:ascii="Times New Roman" w:hAnsi="Times New Roman" w:cs="Times New Roman"/>
          <w:sz w:val="24"/>
          <w:szCs w:val="24"/>
        </w:rPr>
        <w:t xml:space="preserve">solutions </w:t>
      </w:r>
      <w:r>
        <w:rPr>
          <w:rFonts w:ascii="Times New Roman" w:hAnsi="Times New Roman" w:cs="Times New Roman"/>
          <w:sz w:val="24"/>
          <w:szCs w:val="24"/>
        </w:rPr>
        <w:t>for mitigating these emerging risks</w:t>
      </w:r>
      <w:r w:rsidR="005F7F0D" w:rsidRPr="00073A51">
        <w:rPr>
          <w:rFonts w:ascii="Times New Roman" w:hAnsi="Times New Roman" w:cs="Times New Roman"/>
          <w:sz w:val="24"/>
          <w:szCs w:val="24"/>
        </w:rPr>
        <w:t>:</w:t>
      </w:r>
    </w:p>
    <w:p w:rsidR="005F7F0D" w:rsidRPr="00D11FA2" w:rsidRDefault="005F7F0D" w:rsidP="005F7F0D">
      <w:pPr>
        <w:pStyle w:val="ListParagraph"/>
        <w:numPr>
          <w:ilvl w:val="0"/>
          <w:numId w:val="11"/>
        </w:numPr>
        <w:rPr>
          <w:rFonts w:ascii="Times New Roman" w:hAnsi="Times New Roman" w:cs="Times New Roman"/>
          <w:sz w:val="24"/>
          <w:szCs w:val="24"/>
        </w:rPr>
      </w:pPr>
      <w:r w:rsidRPr="00D11FA2">
        <w:rPr>
          <w:rFonts w:ascii="Times New Roman" w:hAnsi="Times New Roman" w:cs="Times New Roman"/>
          <w:sz w:val="24"/>
          <w:szCs w:val="24"/>
        </w:rPr>
        <w:t>AI researchers should acknowledge how their work can be used maliciously;</w:t>
      </w:r>
    </w:p>
    <w:p w:rsidR="005F7F0D" w:rsidRPr="00D11FA2" w:rsidRDefault="005F7F0D" w:rsidP="005F7F0D">
      <w:pPr>
        <w:pStyle w:val="ListParagraph"/>
        <w:numPr>
          <w:ilvl w:val="0"/>
          <w:numId w:val="11"/>
        </w:numPr>
        <w:rPr>
          <w:rFonts w:ascii="Times New Roman" w:hAnsi="Times New Roman" w:cs="Times New Roman"/>
          <w:sz w:val="24"/>
          <w:szCs w:val="24"/>
        </w:rPr>
      </w:pPr>
      <w:r w:rsidRPr="00D11FA2">
        <w:rPr>
          <w:rFonts w:ascii="Times New Roman" w:hAnsi="Times New Roman" w:cs="Times New Roman"/>
          <w:sz w:val="24"/>
          <w:szCs w:val="24"/>
        </w:rPr>
        <w:t>Policy-makers must learn from technical experts about these threats;</w:t>
      </w:r>
    </w:p>
    <w:p w:rsidR="005F7F0D" w:rsidRPr="00D11FA2" w:rsidRDefault="005F7F0D" w:rsidP="005F7F0D">
      <w:pPr>
        <w:pStyle w:val="ListParagraph"/>
        <w:numPr>
          <w:ilvl w:val="0"/>
          <w:numId w:val="11"/>
        </w:numPr>
        <w:rPr>
          <w:rFonts w:ascii="Times New Roman" w:hAnsi="Times New Roman" w:cs="Times New Roman"/>
          <w:sz w:val="24"/>
          <w:szCs w:val="24"/>
        </w:rPr>
      </w:pPr>
      <w:r w:rsidRPr="00D11FA2">
        <w:rPr>
          <w:rFonts w:ascii="Times New Roman" w:hAnsi="Times New Roman" w:cs="Times New Roman"/>
          <w:sz w:val="24"/>
          <w:szCs w:val="24"/>
        </w:rPr>
        <w:t>The AI world must learn from cybersecurity experts how best to protect its systems;</w:t>
      </w:r>
    </w:p>
    <w:p w:rsidR="005F7F0D" w:rsidRPr="00D11FA2" w:rsidRDefault="005F7F0D" w:rsidP="005F7F0D">
      <w:pPr>
        <w:pStyle w:val="ListParagraph"/>
        <w:numPr>
          <w:ilvl w:val="0"/>
          <w:numId w:val="11"/>
        </w:numPr>
        <w:rPr>
          <w:rFonts w:ascii="Times New Roman" w:hAnsi="Times New Roman" w:cs="Times New Roman"/>
          <w:sz w:val="24"/>
          <w:szCs w:val="24"/>
        </w:rPr>
      </w:pPr>
      <w:r w:rsidRPr="00D11FA2">
        <w:rPr>
          <w:rFonts w:ascii="Times New Roman" w:hAnsi="Times New Roman" w:cs="Times New Roman"/>
          <w:sz w:val="24"/>
          <w:szCs w:val="24"/>
        </w:rPr>
        <w:t>Ethical frameworks for AI need to be developed and followed;</w:t>
      </w:r>
      <w:r w:rsidR="001B46EC">
        <w:rPr>
          <w:rFonts w:ascii="Times New Roman" w:hAnsi="Times New Roman" w:cs="Times New Roman"/>
          <w:sz w:val="24"/>
          <w:szCs w:val="24"/>
        </w:rPr>
        <w:t xml:space="preserve"> and</w:t>
      </w:r>
    </w:p>
    <w:p w:rsidR="005F7F0D" w:rsidRPr="00D11FA2" w:rsidRDefault="005F7F0D" w:rsidP="005F7F0D">
      <w:pPr>
        <w:pStyle w:val="ListParagraph"/>
        <w:numPr>
          <w:ilvl w:val="0"/>
          <w:numId w:val="11"/>
        </w:numPr>
        <w:rPr>
          <w:rFonts w:ascii="Times New Roman" w:hAnsi="Times New Roman" w:cs="Times New Roman"/>
          <w:sz w:val="24"/>
          <w:szCs w:val="24"/>
        </w:rPr>
      </w:pPr>
      <w:r w:rsidRPr="00D11FA2">
        <w:rPr>
          <w:rFonts w:ascii="Times New Roman" w:hAnsi="Times New Roman" w:cs="Times New Roman"/>
          <w:sz w:val="24"/>
          <w:szCs w:val="24"/>
        </w:rPr>
        <w:t>More people need to be involved in the discussions</w:t>
      </w:r>
      <w:r w:rsidR="001B46EC">
        <w:rPr>
          <w:rFonts w:ascii="Times New Roman" w:hAnsi="Times New Roman" w:cs="Times New Roman"/>
          <w:sz w:val="24"/>
          <w:szCs w:val="24"/>
        </w:rPr>
        <w:t>,</w:t>
      </w:r>
      <w:r w:rsidRPr="00D11FA2">
        <w:rPr>
          <w:rFonts w:ascii="Times New Roman" w:hAnsi="Times New Roman" w:cs="Times New Roman"/>
          <w:sz w:val="24"/>
          <w:szCs w:val="24"/>
        </w:rPr>
        <w:t xml:space="preserve"> such as ethicists, business </w:t>
      </w:r>
      <w:r w:rsidR="001B46EC">
        <w:rPr>
          <w:rFonts w:ascii="Times New Roman" w:hAnsi="Times New Roman" w:cs="Times New Roman"/>
          <w:sz w:val="24"/>
          <w:szCs w:val="24"/>
        </w:rPr>
        <w:t xml:space="preserve">leaders </w:t>
      </w:r>
      <w:r w:rsidRPr="00D11FA2">
        <w:rPr>
          <w:rFonts w:ascii="Times New Roman" w:hAnsi="Times New Roman" w:cs="Times New Roman"/>
          <w:sz w:val="24"/>
          <w:szCs w:val="24"/>
        </w:rPr>
        <w:t>and the general public.</w:t>
      </w:r>
      <w:r w:rsidRPr="00073A51">
        <w:rPr>
          <w:rStyle w:val="FootnoteReference"/>
          <w:rFonts w:ascii="Times New Roman" w:hAnsi="Times New Roman" w:cs="Times New Roman"/>
        </w:rPr>
        <w:footnoteReference w:id="8"/>
      </w:r>
      <w:r w:rsidRPr="00D11FA2">
        <w:rPr>
          <w:rFonts w:ascii="Times New Roman" w:hAnsi="Times New Roman" w:cs="Times New Roman"/>
          <w:sz w:val="24"/>
          <w:szCs w:val="24"/>
        </w:rPr>
        <w:t xml:space="preserve"> </w:t>
      </w:r>
    </w:p>
    <w:p w:rsidR="005F7F0D" w:rsidRPr="00073A51" w:rsidRDefault="005F7F0D" w:rsidP="005F7F0D">
      <w:pPr>
        <w:pStyle w:val="Heading2"/>
      </w:pPr>
      <w:bookmarkStart w:id="4" w:name="_Toc511640358"/>
      <w:r w:rsidRPr="00073A51">
        <w:t xml:space="preserve">The </w:t>
      </w:r>
      <w:r w:rsidR="001B46EC">
        <w:t>n</w:t>
      </w:r>
      <w:r w:rsidRPr="00073A51">
        <w:t>eed for a bottom-up approach</w:t>
      </w:r>
      <w:bookmarkEnd w:id="4"/>
      <w:r w:rsidRPr="00073A51">
        <w:t xml:space="preserve"> </w:t>
      </w:r>
    </w:p>
    <w:p w:rsidR="005F7F0D" w:rsidRPr="00D11FA2" w:rsidRDefault="005F7F0D" w:rsidP="005F7F0D">
      <w:pPr>
        <w:rPr>
          <w:rFonts w:ascii="Times New Roman" w:hAnsi="Times New Roman" w:cs="Times New Roman"/>
          <w:color w:val="262626"/>
          <w:sz w:val="24"/>
          <w:szCs w:val="24"/>
          <w:shd w:val="clear" w:color="auto" w:fill="FEFEFE"/>
        </w:rPr>
      </w:pPr>
      <w:r w:rsidRPr="00D11FA2">
        <w:rPr>
          <w:rFonts w:ascii="Times New Roman" w:hAnsi="Times New Roman" w:cs="Times New Roman"/>
          <w:color w:val="262626"/>
          <w:sz w:val="24"/>
          <w:szCs w:val="24"/>
          <w:shd w:val="clear" w:color="auto" w:fill="FEFEFE"/>
        </w:rPr>
        <w:t xml:space="preserve">Despite international and regional policy regimes, recent proliferation-related events have taken place. This activity includes the development of the illicit nuclear programme in North Korea, the deployment of chemical weapons in Syria, the use of a highly toxic VX agent killing the half-brother of Kim Jong Un and the recent attack in the UK through the use of a military grade highly toxic nerve agents belonging to the </w:t>
      </w:r>
      <w:proofErr w:type="spellStart"/>
      <w:r w:rsidRPr="00D11FA2">
        <w:rPr>
          <w:rFonts w:ascii="Times New Roman" w:hAnsi="Times New Roman" w:cs="Times New Roman"/>
          <w:color w:val="262626"/>
          <w:sz w:val="24"/>
          <w:szCs w:val="24"/>
          <w:shd w:val="clear" w:color="auto" w:fill="FEFEFE"/>
        </w:rPr>
        <w:t>Novichok</w:t>
      </w:r>
      <w:proofErr w:type="spellEnd"/>
      <w:r w:rsidRPr="00D11FA2">
        <w:rPr>
          <w:rFonts w:ascii="Times New Roman" w:hAnsi="Times New Roman" w:cs="Times New Roman"/>
          <w:color w:val="262626"/>
          <w:sz w:val="24"/>
          <w:szCs w:val="24"/>
          <w:shd w:val="clear" w:color="auto" w:fill="FEFEFE"/>
        </w:rPr>
        <w:t xml:space="preserve"> group.</w:t>
      </w:r>
    </w:p>
    <w:p w:rsidR="005F7F0D" w:rsidRPr="00D11FA2" w:rsidRDefault="005F7F0D" w:rsidP="005F7F0D">
      <w:pPr>
        <w:rPr>
          <w:rFonts w:ascii="Times New Roman" w:hAnsi="Times New Roman" w:cs="Times New Roman"/>
          <w:color w:val="262626"/>
          <w:sz w:val="24"/>
          <w:szCs w:val="24"/>
          <w:shd w:val="clear" w:color="auto" w:fill="FEFEFE"/>
        </w:rPr>
      </w:pPr>
      <w:r w:rsidRPr="00D11FA2">
        <w:rPr>
          <w:rFonts w:ascii="Times New Roman" w:hAnsi="Times New Roman" w:cs="Times New Roman"/>
          <w:color w:val="262626"/>
          <w:sz w:val="24"/>
          <w:szCs w:val="24"/>
          <w:shd w:val="clear" w:color="auto" w:fill="FEFEFE"/>
        </w:rPr>
        <w:t>Indeed, these developments require further reflection on ways to make overall non-proliferation policies more effective.</w:t>
      </w:r>
      <w:r w:rsidRPr="00D11FA2">
        <w:rPr>
          <w:rFonts w:ascii="Times New Roman" w:hAnsi="Times New Roman" w:cs="Times New Roman"/>
          <w:sz w:val="24"/>
          <w:szCs w:val="24"/>
        </w:rPr>
        <w:t xml:space="preserve"> Obviously, all legally-binding efforts strengthening non-proliferation efforts must continue. The various upcoming review conferences will be crucial for </w:t>
      </w:r>
      <w:r w:rsidR="000F0800">
        <w:rPr>
          <w:rFonts w:ascii="Times New Roman" w:hAnsi="Times New Roman" w:cs="Times New Roman"/>
          <w:sz w:val="24"/>
          <w:szCs w:val="24"/>
        </w:rPr>
        <w:t>determining</w:t>
      </w:r>
      <w:r w:rsidRPr="00D11FA2">
        <w:rPr>
          <w:rFonts w:ascii="Times New Roman" w:hAnsi="Times New Roman" w:cs="Times New Roman"/>
          <w:sz w:val="24"/>
          <w:szCs w:val="24"/>
        </w:rPr>
        <w:t xml:space="preserve"> the future of </w:t>
      </w:r>
      <w:r w:rsidR="000F0800">
        <w:rPr>
          <w:rFonts w:ascii="Times New Roman" w:hAnsi="Times New Roman" w:cs="Times New Roman"/>
          <w:sz w:val="24"/>
          <w:szCs w:val="24"/>
        </w:rPr>
        <w:t>a number of these</w:t>
      </w:r>
      <w:r w:rsidR="000F0800" w:rsidRPr="00D11FA2">
        <w:rPr>
          <w:rFonts w:ascii="Times New Roman" w:hAnsi="Times New Roman" w:cs="Times New Roman"/>
          <w:sz w:val="24"/>
          <w:szCs w:val="24"/>
        </w:rPr>
        <w:t xml:space="preserve"> </w:t>
      </w:r>
      <w:r w:rsidRPr="00D11FA2">
        <w:rPr>
          <w:rFonts w:ascii="Times New Roman" w:hAnsi="Times New Roman" w:cs="Times New Roman"/>
          <w:sz w:val="24"/>
          <w:szCs w:val="24"/>
        </w:rPr>
        <w:t>global regimes.</w:t>
      </w:r>
    </w:p>
    <w:p w:rsidR="005F7F0D" w:rsidRPr="00073A51" w:rsidRDefault="000F0800" w:rsidP="005F7F0D">
      <w:pPr>
        <w:rPr>
          <w:rFonts w:ascii="Times New Roman" w:hAnsi="Times New Roman" w:cs="Times New Roman"/>
          <w:color w:val="262626"/>
          <w:sz w:val="28"/>
          <w:szCs w:val="28"/>
          <w:shd w:val="clear" w:color="auto" w:fill="FEFEFE"/>
        </w:rPr>
      </w:pPr>
      <w:r>
        <w:rPr>
          <w:rFonts w:ascii="Times New Roman" w:hAnsi="Times New Roman" w:cs="Times New Roman"/>
          <w:color w:val="262626"/>
          <w:sz w:val="24"/>
          <w:szCs w:val="24"/>
          <w:shd w:val="clear" w:color="auto" w:fill="FEFEFE"/>
        </w:rPr>
        <w:t>A</w:t>
      </w:r>
      <w:r w:rsidR="005F7F0D" w:rsidRPr="00D11FA2">
        <w:rPr>
          <w:rFonts w:ascii="Times New Roman" w:hAnsi="Times New Roman" w:cs="Times New Roman"/>
          <w:color w:val="262626"/>
          <w:sz w:val="24"/>
          <w:szCs w:val="24"/>
          <w:shd w:val="clear" w:color="auto" w:fill="FEFEFE"/>
        </w:rPr>
        <w:t xml:space="preserve">n interesting trend </w:t>
      </w:r>
      <w:r>
        <w:rPr>
          <w:rFonts w:ascii="Times New Roman" w:hAnsi="Times New Roman" w:cs="Times New Roman"/>
          <w:color w:val="262626"/>
          <w:sz w:val="24"/>
          <w:szCs w:val="24"/>
          <w:shd w:val="clear" w:color="auto" w:fill="FEFEFE"/>
        </w:rPr>
        <w:t xml:space="preserve">in bottom-up approaches </w:t>
      </w:r>
      <w:r w:rsidR="005F7F0D" w:rsidRPr="00D11FA2">
        <w:rPr>
          <w:rFonts w:ascii="Times New Roman" w:hAnsi="Times New Roman" w:cs="Times New Roman"/>
          <w:color w:val="262626"/>
          <w:sz w:val="24"/>
          <w:szCs w:val="24"/>
          <w:shd w:val="clear" w:color="auto" w:fill="FEFEFE"/>
        </w:rPr>
        <w:t xml:space="preserve">is that like-minded partners are seeking new forms of practical cooperation within </w:t>
      </w:r>
      <w:r>
        <w:rPr>
          <w:rFonts w:ascii="Times New Roman" w:hAnsi="Times New Roman" w:cs="Times New Roman"/>
          <w:color w:val="262626"/>
          <w:sz w:val="24"/>
          <w:szCs w:val="24"/>
          <w:shd w:val="clear" w:color="auto" w:fill="FEFEFE"/>
        </w:rPr>
        <w:t>and</w:t>
      </w:r>
      <w:r w:rsidRPr="00D11FA2">
        <w:rPr>
          <w:rFonts w:ascii="Times New Roman" w:hAnsi="Times New Roman" w:cs="Times New Roman"/>
          <w:color w:val="262626"/>
          <w:sz w:val="24"/>
          <w:szCs w:val="24"/>
          <w:shd w:val="clear" w:color="auto" w:fill="FEFEFE"/>
        </w:rPr>
        <w:t xml:space="preserve"> </w:t>
      </w:r>
      <w:r w:rsidR="005F7F0D" w:rsidRPr="00D11FA2">
        <w:rPr>
          <w:rFonts w:ascii="Times New Roman" w:hAnsi="Times New Roman" w:cs="Times New Roman"/>
          <w:color w:val="262626"/>
          <w:sz w:val="24"/>
          <w:szCs w:val="24"/>
          <w:shd w:val="clear" w:color="auto" w:fill="FEFEFE"/>
        </w:rPr>
        <w:t xml:space="preserve">outside existing legal frameworks. For example, France launched in January 2018 an international partnership against impunity for the use of chemical weapons, supporting the strengthening of cooperation among experts. The first meetings of this initiative have taken place. </w:t>
      </w:r>
      <w:r>
        <w:rPr>
          <w:rFonts w:ascii="Times New Roman" w:hAnsi="Times New Roman" w:cs="Times New Roman"/>
          <w:color w:val="262626"/>
          <w:sz w:val="24"/>
          <w:szCs w:val="24"/>
          <w:shd w:val="clear" w:color="auto" w:fill="FEFEFE"/>
        </w:rPr>
        <w:t>The</w:t>
      </w:r>
      <w:r w:rsidR="005F7F0D" w:rsidRPr="00D11FA2">
        <w:rPr>
          <w:rFonts w:ascii="Times New Roman" w:hAnsi="Times New Roman" w:cs="Times New Roman"/>
          <w:color w:val="262626"/>
          <w:sz w:val="24"/>
          <w:szCs w:val="24"/>
          <w:shd w:val="clear" w:color="auto" w:fill="FEFEFE"/>
        </w:rPr>
        <w:t xml:space="preserve"> Benelux countries have committed to strengthening the implementation of the Biological and Toxin Weapons Convention (BWC) in their countries through mutual peer reviews. </w:t>
      </w:r>
      <w:r>
        <w:rPr>
          <w:rFonts w:ascii="Times New Roman" w:hAnsi="Times New Roman" w:cs="Times New Roman"/>
          <w:color w:val="262626"/>
          <w:sz w:val="24"/>
          <w:szCs w:val="24"/>
          <w:shd w:val="clear" w:color="auto" w:fill="FEFEFE"/>
        </w:rPr>
        <w:t>T</w:t>
      </w:r>
      <w:r w:rsidR="005F7F0D" w:rsidRPr="00D11FA2">
        <w:rPr>
          <w:rFonts w:ascii="Times New Roman" w:hAnsi="Times New Roman" w:cs="Times New Roman"/>
          <w:color w:val="262626"/>
          <w:sz w:val="24"/>
          <w:szCs w:val="24"/>
          <w:shd w:val="clear" w:color="auto" w:fill="FEFEFE"/>
        </w:rPr>
        <w:t xml:space="preserve">he UK and Norway </w:t>
      </w:r>
      <w:r>
        <w:rPr>
          <w:rFonts w:ascii="Times New Roman" w:hAnsi="Times New Roman" w:cs="Times New Roman"/>
          <w:color w:val="262626"/>
          <w:sz w:val="24"/>
          <w:szCs w:val="24"/>
          <w:shd w:val="clear" w:color="auto" w:fill="FEFEFE"/>
        </w:rPr>
        <w:t>I</w:t>
      </w:r>
      <w:r w:rsidR="005F7F0D" w:rsidRPr="00D11FA2">
        <w:rPr>
          <w:rFonts w:ascii="Times New Roman" w:hAnsi="Times New Roman" w:cs="Times New Roman"/>
          <w:color w:val="262626"/>
          <w:sz w:val="24"/>
          <w:szCs w:val="24"/>
          <w:shd w:val="clear" w:color="auto" w:fill="FEFEFE"/>
        </w:rPr>
        <w:t>nitiative is bringing together non-nuclear</w:t>
      </w:r>
      <w:r>
        <w:rPr>
          <w:rFonts w:ascii="Times New Roman" w:hAnsi="Times New Roman" w:cs="Times New Roman"/>
          <w:color w:val="262626"/>
          <w:sz w:val="24"/>
          <w:szCs w:val="24"/>
          <w:shd w:val="clear" w:color="auto" w:fill="FEFEFE"/>
        </w:rPr>
        <w:t>-</w:t>
      </w:r>
      <w:r w:rsidR="005F7F0D" w:rsidRPr="00D11FA2">
        <w:rPr>
          <w:rFonts w:ascii="Times New Roman" w:hAnsi="Times New Roman" w:cs="Times New Roman"/>
          <w:color w:val="262626"/>
          <w:sz w:val="24"/>
          <w:szCs w:val="24"/>
          <w:shd w:val="clear" w:color="auto" w:fill="FEFEFE"/>
        </w:rPr>
        <w:t xml:space="preserve">weapon states </w:t>
      </w:r>
      <w:r>
        <w:rPr>
          <w:rFonts w:ascii="Times New Roman" w:hAnsi="Times New Roman" w:cs="Times New Roman"/>
          <w:color w:val="262626"/>
          <w:sz w:val="24"/>
          <w:szCs w:val="24"/>
          <w:shd w:val="clear" w:color="auto" w:fill="FEFEFE"/>
        </w:rPr>
        <w:t>(NNWS) and nuclear</w:t>
      </w:r>
      <w:r>
        <w:rPr>
          <w:rFonts w:ascii="Times New Roman" w:hAnsi="Times New Roman" w:cs="Times New Roman"/>
          <w:color w:val="262626"/>
          <w:sz w:val="24"/>
          <w:szCs w:val="24"/>
          <w:shd w:val="clear" w:color="auto" w:fill="FEFEFE"/>
        </w:rPr>
        <w:noBreakHyphen/>
        <w:t xml:space="preserve">weapon states </w:t>
      </w:r>
      <w:r w:rsidR="005F7F0D" w:rsidRPr="00D11FA2">
        <w:rPr>
          <w:rFonts w:ascii="Times New Roman" w:hAnsi="Times New Roman" w:cs="Times New Roman"/>
          <w:color w:val="262626"/>
          <w:sz w:val="24"/>
          <w:szCs w:val="24"/>
          <w:shd w:val="clear" w:color="auto" w:fill="FEFEFE"/>
        </w:rPr>
        <w:t xml:space="preserve">(NWS) to discuss verification tools and methods for nuclear dismantlement, and to explore how all states </w:t>
      </w:r>
      <w:r>
        <w:rPr>
          <w:rFonts w:ascii="Times New Roman" w:hAnsi="Times New Roman" w:cs="Times New Roman"/>
          <w:color w:val="262626"/>
          <w:sz w:val="24"/>
          <w:szCs w:val="24"/>
          <w:shd w:val="clear" w:color="auto" w:fill="FEFEFE"/>
        </w:rPr>
        <w:t>party to</w:t>
      </w:r>
      <w:r w:rsidRPr="00D11FA2">
        <w:rPr>
          <w:rFonts w:ascii="Times New Roman" w:hAnsi="Times New Roman" w:cs="Times New Roman"/>
          <w:color w:val="262626"/>
          <w:sz w:val="24"/>
          <w:szCs w:val="24"/>
          <w:shd w:val="clear" w:color="auto" w:fill="FEFEFE"/>
        </w:rPr>
        <w:t xml:space="preserve"> </w:t>
      </w:r>
      <w:r w:rsidR="005F7F0D" w:rsidRPr="00D11FA2">
        <w:rPr>
          <w:rFonts w:ascii="Times New Roman" w:hAnsi="Times New Roman" w:cs="Times New Roman"/>
          <w:color w:val="262626"/>
          <w:sz w:val="24"/>
          <w:szCs w:val="24"/>
          <w:shd w:val="clear" w:color="auto" w:fill="FEFEFE"/>
        </w:rPr>
        <w:t>the NPT can contribute to their Article VI obligations</w:t>
      </w:r>
      <w:r w:rsidR="005F7F0D" w:rsidRPr="00D11FA2">
        <w:rPr>
          <w:rFonts w:ascii="Times New Roman" w:hAnsi="Times New Roman" w:cs="Times New Roman"/>
          <w:color w:val="262626"/>
          <w:sz w:val="28"/>
          <w:szCs w:val="28"/>
          <w:shd w:val="clear" w:color="auto" w:fill="FEFEFE"/>
        </w:rPr>
        <w:t>.</w:t>
      </w:r>
      <w:r w:rsidR="005F7F0D" w:rsidRPr="00073A51">
        <w:rPr>
          <w:rStyle w:val="FootnoteReference"/>
          <w:rFonts w:ascii="Times New Roman" w:hAnsi="Times New Roman" w:cs="Times New Roman"/>
          <w:color w:val="262626"/>
          <w:sz w:val="28"/>
          <w:szCs w:val="28"/>
          <w:shd w:val="clear" w:color="auto" w:fill="FEFEFE"/>
        </w:rPr>
        <w:footnoteReference w:id="9"/>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However, despite such developments and noting the emerging needs, the overarching question remains </w:t>
      </w:r>
      <w:r w:rsidR="000F0800">
        <w:rPr>
          <w:rFonts w:ascii="Times New Roman" w:hAnsi="Times New Roman" w:cs="Times New Roman"/>
          <w:sz w:val="24"/>
          <w:szCs w:val="24"/>
        </w:rPr>
        <w:t>as to what</w:t>
      </w:r>
      <w:r w:rsidR="000F0800"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additional policy initiatives should be taken in order to respond more adequately to current and future security threats and risks. As </w:t>
      </w:r>
      <w:r w:rsidR="000F0800">
        <w:rPr>
          <w:rFonts w:ascii="Times New Roman" w:hAnsi="Times New Roman" w:cs="Times New Roman"/>
          <w:sz w:val="24"/>
          <w:szCs w:val="24"/>
        </w:rPr>
        <w:t>indicated above</w:t>
      </w:r>
      <w:r w:rsidRPr="00D11FA2">
        <w:rPr>
          <w:rFonts w:ascii="Times New Roman" w:hAnsi="Times New Roman" w:cs="Times New Roman"/>
          <w:sz w:val="24"/>
          <w:szCs w:val="24"/>
        </w:rPr>
        <w:t>, the challenges mainly relate to the widespread use of CBRN-related agents and materials</w:t>
      </w:r>
      <w:r w:rsidR="000F0800">
        <w:rPr>
          <w:rFonts w:ascii="Times New Roman" w:hAnsi="Times New Roman" w:cs="Times New Roman"/>
          <w:sz w:val="24"/>
          <w:szCs w:val="24"/>
        </w:rPr>
        <w:t>,</w:t>
      </w:r>
      <w:r w:rsidRPr="00D11FA2">
        <w:rPr>
          <w:rFonts w:ascii="Times New Roman" w:hAnsi="Times New Roman" w:cs="Times New Roman"/>
          <w:sz w:val="24"/>
          <w:szCs w:val="24"/>
        </w:rPr>
        <w:t xml:space="preserve"> but </w:t>
      </w:r>
      <w:r w:rsidRPr="00D11FA2">
        <w:rPr>
          <w:rFonts w:ascii="Times New Roman" w:hAnsi="Times New Roman" w:cs="Times New Roman"/>
          <w:sz w:val="24"/>
          <w:szCs w:val="24"/>
        </w:rPr>
        <w:lastRenderedPageBreak/>
        <w:t xml:space="preserve">also to the application of emerging and disruptive technologies, with respect to, for example, the security impact of </w:t>
      </w:r>
      <w:r w:rsidR="000F0800">
        <w:rPr>
          <w:rFonts w:ascii="Times New Roman" w:hAnsi="Times New Roman" w:cs="Times New Roman"/>
          <w:sz w:val="24"/>
          <w:szCs w:val="24"/>
        </w:rPr>
        <w:t>AI</w:t>
      </w:r>
      <w:r w:rsidRPr="00D11FA2">
        <w:rPr>
          <w:rFonts w:ascii="Times New Roman" w:hAnsi="Times New Roman" w:cs="Times New Roman"/>
          <w:sz w:val="24"/>
          <w:szCs w:val="24"/>
        </w:rPr>
        <w:t xml:space="preserve">. </w:t>
      </w:r>
    </w:p>
    <w:p w:rsidR="005F7F0D" w:rsidRPr="00073A51" w:rsidRDefault="000F0800" w:rsidP="005F7F0D">
      <w:pPr>
        <w:rPr>
          <w:rFonts w:ascii="Times New Roman" w:hAnsi="Times New Roman" w:cs="Times New Roman"/>
          <w:sz w:val="24"/>
          <w:szCs w:val="24"/>
        </w:rPr>
      </w:pPr>
      <w:r>
        <w:rPr>
          <w:rFonts w:ascii="Times New Roman" w:hAnsi="Times New Roman" w:cs="Times New Roman"/>
          <w:sz w:val="24"/>
          <w:szCs w:val="24"/>
        </w:rPr>
        <w:t>G</w:t>
      </w:r>
      <w:r w:rsidR="005F7F0D" w:rsidRPr="00D11FA2">
        <w:rPr>
          <w:rFonts w:ascii="Times New Roman" w:hAnsi="Times New Roman" w:cs="Times New Roman"/>
          <w:sz w:val="24"/>
          <w:szCs w:val="24"/>
        </w:rPr>
        <w:t xml:space="preserve">iven the rapidly-evolving situation and within the overall policy context, recommendations are made in this paper </w:t>
      </w:r>
      <w:r>
        <w:rPr>
          <w:rFonts w:ascii="Times New Roman" w:hAnsi="Times New Roman" w:cs="Times New Roman"/>
          <w:sz w:val="24"/>
          <w:szCs w:val="24"/>
        </w:rPr>
        <w:t>for placing</w:t>
      </w:r>
      <w:r w:rsidR="005F7F0D" w:rsidRPr="00D11FA2">
        <w:rPr>
          <w:rFonts w:ascii="Times New Roman" w:hAnsi="Times New Roman" w:cs="Times New Roman"/>
          <w:sz w:val="24"/>
          <w:szCs w:val="24"/>
        </w:rPr>
        <w:t xml:space="preserve"> greater emphasis on the use of bottom-up, grassroots-relevant forms of cooperation by</w:t>
      </w:r>
      <w:r w:rsidR="005F7F0D" w:rsidRPr="00D11FA2">
        <w:t xml:space="preserve"> </w:t>
      </w:r>
      <w:r w:rsidR="005F7F0D" w:rsidRPr="00D11FA2">
        <w:rPr>
          <w:rFonts w:ascii="Times New Roman" w:hAnsi="Times New Roman" w:cs="Times New Roman"/>
          <w:sz w:val="24"/>
          <w:szCs w:val="24"/>
        </w:rPr>
        <w:t xml:space="preserve">academia, researchers, </w:t>
      </w:r>
      <w:r>
        <w:rPr>
          <w:rFonts w:ascii="Times New Roman" w:hAnsi="Times New Roman" w:cs="Times New Roman"/>
          <w:sz w:val="24"/>
          <w:szCs w:val="24"/>
        </w:rPr>
        <w:t>industry</w:t>
      </w:r>
      <w:r w:rsidRPr="00D11FA2">
        <w:rPr>
          <w:rFonts w:ascii="Times New Roman" w:hAnsi="Times New Roman" w:cs="Times New Roman"/>
          <w:sz w:val="24"/>
          <w:szCs w:val="24"/>
        </w:rPr>
        <w:t xml:space="preserve"> </w:t>
      </w:r>
      <w:r w:rsidR="005F7F0D" w:rsidRPr="00D11FA2">
        <w:rPr>
          <w:rFonts w:ascii="Times New Roman" w:hAnsi="Times New Roman" w:cs="Times New Roman"/>
          <w:sz w:val="24"/>
          <w:szCs w:val="24"/>
        </w:rPr>
        <w:t>and public authorities.  In particular, scientists and scientific institutions will have to play a much greater role in reducing risks and threats at the earliest possible stage of scientific and technological developments.</w:t>
      </w:r>
      <w:r w:rsidR="005F7F0D" w:rsidRPr="00073A51">
        <w:rPr>
          <w:rStyle w:val="FootnoteReference"/>
          <w:rFonts w:ascii="Times New Roman" w:hAnsi="Times New Roman" w:cs="Times New Roman"/>
        </w:rPr>
        <w:footnoteReference w:id="10"/>
      </w:r>
      <w:r w:rsidR="005F7F0D" w:rsidRPr="00073A51">
        <w:rPr>
          <w:rFonts w:ascii="Times New Roman" w:hAnsi="Times New Roman" w:cs="Times New Roman"/>
          <w:sz w:val="24"/>
          <w:szCs w:val="24"/>
        </w:rPr>
        <w:t xml:space="preserve"> </w:t>
      </w:r>
    </w:p>
    <w:p w:rsidR="005F7F0D" w:rsidRPr="00073A51"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This is particularly important </w:t>
      </w:r>
      <w:r w:rsidR="004D3250">
        <w:rPr>
          <w:rFonts w:ascii="Times New Roman" w:hAnsi="Times New Roman" w:cs="Times New Roman"/>
          <w:sz w:val="24"/>
          <w:szCs w:val="24"/>
        </w:rPr>
        <w:t xml:space="preserve">in light of </w:t>
      </w:r>
      <w:r w:rsidR="000F0800">
        <w:rPr>
          <w:rFonts w:ascii="Times New Roman" w:hAnsi="Times New Roman" w:cs="Times New Roman"/>
          <w:sz w:val="24"/>
          <w:szCs w:val="24"/>
        </w:rPr>
        <w:t>the</w:t>
      </w:r>
      <w:r w:rsidRPr="00D11FA2">
        <w:rPr>
          <w:rFonts w:ascii="Times New Roman" w:hAnsi="Times New Roman" w:cs="Times New Roman"/>
          <w:sz w:val="24"/>
          <w:szCs w:val="24"/>
        </w:rPr>
        <w:t xml:space="preserve"> high-profile examples of scientists engaging in nefarious activity. For example, the Pakistani metallurgist A.Q. Khan is known for his role in developing Pakistan’s nuclear arsenal, and who confessed in 2004 to having illegally provided nuclear weapons technology to Iran, Libya and North Korea over the course of decades. Kim Jong </w:t>
      </w:r>
      <w:proofErr w:type="spellStart"/>
      <w:r w:rsidRPr="00D11FA2">
        <w:rPr>
          <w:rFonts w:ascii="Times New Roman" w:hAnsi="Times New Roman" w:cs="Times New Roman"/>
          <w:sz w:val="24"/>
          <w:szCs w:val="24"/>
        </w:rPr>
        <w:t>Sik</w:t>
      </w:r>
      <w:proofErr w:type="spellEnd"/>
      <w:r w:rsidRPr="00D11FA2">
        <w:rPr>
          <w:rFonts w:ascii="Times New Roman" w:hAnsi="Times New Roman" w:cs="Times New Roman"/>
          <w:sz w:val="24"/>
          <w:szCs w:val="24"/>
        </w:rPr>
        <w:t xml:space="preserve"> and Ri </w:t>
      </w:r>
      <w:proofErr w:type="spellStart"/>
      <w:r w:rsidRPr="00D11FA2">
        <w:rPr>
          <w:rFonts w:ascii="Times New Roman" w:hAnsi="Times New Roman" w:cs="Times New Roman"/>
          <w:sz w:val="24"/>
          <w:szCs w:val="24"/>
        </w:rPr>
        <w:t>Pyong</w:t>
      </w:r>
      <w:proofErr w:type="spellEnd"/>
      <w:r w:rsidRPr="00D11FA2">
        <w:rPr>
          <w:rFonts w:ascii="Times New Roman" w:hAnsi="Times New Roman" w:cs="Times New Roman"/>
          <w:sz w:val="24"/>
          <w:szCs w:val="24"/>
        </w:rPr>
        <w:t xml:space="preserve"> Chol are on the US sanction list. Both are major figures in the development of North Korea’s intercontinental ballistic missile (ICBM) programme. North Korean experts have trained and supported Syrian technicians since the 1990's to support Syria's chemical weapons programme.</w:t>
      </w:r>
      <w:r w:rsidRPr="00073A51">
        <w:rPr>
          <w:rStyle w:val="FootnoteReference"/>
          <w:rFonts w:ascii="Times New Roman" w:hAnsi="Times New Roman" w:cs="Times New Roman"/>
        </w:rPr>
        <w:footnoteReference w:id="11"/>
      </w:r>
      <w:r w:rsidRPr="00073A51">
        <w:rPr>
          <w:rFonts w:ascii="Times New Roman" w:hAnsi="Times New Roman" w:cs="Times New Roman"/>
          <w:sz w:val="24"/>
          <w:szCs w:val="24"/>
        </w:rPr>
        <w:t xml:space="preserve"> Terrorist groups such as </w:t>
      </w:r>
      <w:r w:rsidRPr="00D11FA2">
        <w:rPr>
          <w:rFonts w:ascii="Times New Roman" w:hAnsi="Times New Roman" w:cs="Times New Roman"/>
          <w:sz w:val="24"/>
          <w:szCs w:val="24"/>
        </w:rPr>
        <w:t>Al Qaeda have made repeated attempts to recruit nuclear expertise in order to develop a nuclear programme.</w:t>
      </w:r>
      <w:r w:rsidRPr="00073A51">
        <w:rPr>
          <w:rStyle w:val="FootnoteReference"/>
          <w:rFonts w:ascii="Times New Roman" w:hAnsi="Times New Roman" w:cs="Times New Roman"/>
        </w:rPr>
        <w:footnoteReference w:id="12"/>
      </w:r>
      <w:r w:rsidRPr="00073A51">
        <w:rPr>
          <w:rFonts w:ascii="Times New Roman" w:hAnsi="Times New Roman" w:cs="Times New Roman"/>
          <w:sz w:val="24"/>
          <w:szCs w:val="24"/>
        </w:rPr>
        <w:t xml:space="preserve"> In 2014, a</w:t>
      </w:r>
      <w:r w:rsidR="000F0800">
        <w:rPr>
          <w:rFonts w:ascii="Times New Roman" w:hAnsi="Times New Roman" w:cs="Times New Roman"/>
          <w:sz w:val="24"/>
          <w:szCs w:val="24"/>
        </w:rPr>
        <w:t xml:space="preserve"> </w:t>
      </w:r>
      <w:r w:rsidRPr="00073A51">
        <w:rPr>
          <w:rFonts w:ascii="Times New Roman" w:hAnsi="Times New Roman" w:cs="Times New Roman"/>
          <w:sz w:val="24"/>
          <w:szCs w:val="24"/>
        </w:rPr>
        <w:t xml:space="preserve">laptop owned by a Tunisian expert </w:t>
      </w:r>
      <w:r w:rsidR="00C80F23">
        <w:rPr>
          <w:rFonts w:ascii="Times New Roman" w:hAnsi="Times New Roman" w:cs="Times New Roman"/>
          <w:sz w:val="24"/>
          <w:szCs w:val="24"/>
        </w:rPr>
        <w:t xml:space="preserve">in </w:t>
      </w:r>
      <w:r w:rsidRPr="00073A51">
        <w:rPr>
          <w:rFonts w:ascii="Times New Roman" w:hAnsi="Times New Roman" w:cs="Times New Roman"/>
          <w:sz w:val="24"/>
          <w:szCs w:val="24"/>
        </w:rPr>
        <w:t xml:space="preserve">chemistry and </w:t>
      </w:r>
      <w:proofErr w:type="gramStart"/>
      <w:r w:rsidRPr="00073A51">
        <w:rPr>
          <w:rFonts w:ascii="Times New Roman" w:hAnsi="Times New Roman" w:cs="Times New Roman"/>
          <w:sz w:val="24"/>
          <w:szCs w:val="24"/>
        </w:rPr>
        <w:t>physics</w:t>
      </w:r>
      <w:r w:rsidR="00C80F23">
        <w:rPr>
          <w:rFonts w:ascii="Times New Roman" w:hAnsi="Times New Roman" w:cs="Times New Roman"/>
          <w:sz w:val="24"/>
          <w:szCs w:val="24"/>
        </w:rPr>
        <w:t xml:space="preserve">  and</w:t>
      </w:r>
      <w:proofErr w:type="gramEnd"/>
      <w:r w:rsidR="00C80F23">
        <w:rPr>
          <w:rFonts w:ascii="Times New Roman" w:hAnsi="Times New Roman" w:cs="Times New Roman"/>
          <w:sz w:val="24"/>
          <w:szCs w:val="24"/>
        </w:rPr>
        <w:t xml:space="preserve"> recovered from a hideout of the Islamic State in Syria</w:t>
      </w:r>
      <w:r w:rsidRPr="00073A51">
        <w:rPr>
          <w:rFonts w:ascii="Times New Roman" w:hAnsi="Times New Roman" w:cs="Times New Roman"/>
          <w:sz w:val="24"/>
          <w:szCs w:val="24"/>
        </w:rPr>
        <w:t xml:space="preserve"> </w:t>
      </w:r>
      <w:r w:rsidR="00C80F23" w:rsidRPr="00D11FA2">
        <w:rPr>
          <w:rFonts w:ascii="Times New Roman" w:hAnsi="Times New Roman" w:cs="Times New Roman"/>
          <w:sz w:val="24"/>
          <w:szCs w:val="24"/>
        </w:rPr>
        <w:t>contain</w:t>
      </w:r>
      <w:r w:rsidR="00C80F23">
        <w:rPr>
          <w:rFonts w:ascii="Times New Roman" w:hAnsi="Times New Roman" w:cs="Times New Roman"/>
          <w:sz w:val="24"/>
          <w:szCs w:val="24"/>
        </w:rPr>
        <w:t>ed</w:t>
      </w:r>
      <w:r w:rsidR="00C80F23" w:rsidRPr="00D11FA2">
        <w:rPr>
          <w:rFonts w:ascii="Times New Roman" w:hAnsi="Times New Roman" w:cs="Times New Roman"/>
          <w:sz w:val="24"/>
          <w:szCs w:val="24"/>
        </w:rPr>
        <w:t xml:space="preserve"> </w:t>
      </w:r>
      <w:r w:rsidRPr="00D11FA2">
        <w:rPr>
          <w:rFonts w:ascii="Times New Roman" w:hAnsi="Times New Roman" w:cs="Times New Roman"/>
          <w:sz w:val="24"/>
          <w:szCs w:val="24"/>
        </w:rPr>
        <w:t>documents on how to develop biological weapons.</w:t>
      </w:r>
      <w:r w:rsidRPr="00073A51">
        <w:rPr>
          <w:rStyle w:val="FootnoteReference"/>
          <w:rFonts w:ascii="Times New Roman" w:hAnsi="Times New Roman" w:cs="Times New Roman"/>
        </w:rPr>
        <w:footnoteReference w:id="13"/>
      </w:r>
      <w:r w:rsidRPr="00073A51">
        <w:rPr>
          <w:rFonts w:ascii="Times New Roman" w:hAnsi="Times New Roman" w:cs="Times New Roman"/>
          <w:sz w:val="24"/>
          <w:szCs w:val="24"/>
        </w:rPr>
        <w:t xml:space="preserve"> </w:t>
      </w:r>
    </w:p>
    <w:p w:rsidR="005F7F0D" w:rsidRPr="00D11FA2" w:rsidRDefault="005F7F0D" w:rsidP="005F7F0D">
      <w:pPr>
        <w:rPr>
          <w:rFonts w:ascii="Times New Roman" w:hAnsi="Times New Roman" w:cs="Times New Roman"/>
          <w:b/>
          <w:sz w:val="24"/>
          <w:szCs w:val="24"/>
          <w:u w:val="single"/>
        </w:rPr>
      </w:pPr>
      <w:r w:rsidRPr="00D11FA2">
        <w:rPr>
          <w:rFonts w:ascii="Times New Roman" w:hAnsi="Times New Roman" w:cs="Times New Roman"/>
          <w:sz w:val="24"/>
          <w:szCs w:val="24"/>
        </w:rPr>
        <w:t xml:space="preserve">It is clear that scientists can be misused for proliferation programmes. </w:t>
      </w:r>
      <w:r w:rsidR="00C80F23">
        <w:rPr>
          <w:rFonts w:ascii="Times New Roman" w:hAnsi="Times New Roman" w:cs="Times New Roman"/>
          <w:sz w:val="24"/>
          <w:szCs w:val="24"/>
        </w:rPr>
        <w:t>It is equally clear that</w:t>
      </w:r>
      <w:r w:rsidRPr="00D11FA2">
        <w:rPr>
          <w:rFonts w:ascii="Times New Roman" w:hAnsi="Times New Roman" w:cs="Times New Roman"/>
          <w:sz w:val="24"/>
          <w:szCs w:val="24"/>
        </w:rPr>
        <w:t xml:space="preserve"> experts with specific knowledge on sensitive technologies can and must ensure that disruptive emerging technologies remain secure and peaceful. </w:t>
      </w:r>
      <w:r w:rsidRPr="00D11FA2">
        <w:rPr>
          <w:rFonts w:ascii="Times New Roman" w:hAnsi="Times New Roman" w:cs="Times New Roman"/>
          <w:b/>
          <w:sz w:val="24"/>
          <w:szCs w:val="24"/>
          <w:u w:val="single"/>
        </w:rPr>
        <w:br w:type="page"/>
      </w:r>
    </w:p>
    <w:p w:rsidR="005F7F0D" w:rsidRPr="00D11FA2" w:rsidRDefault="005F7F0D" w:rsidP="005F7F0D">
      <w:pPr>
        <w:pStyle w:val="Heading1"/>
      </w:pPr>
      <w:bookmarkStart w:id="5" w:name="_Toc511640359"/>
      <w:r w:rsidRPr="00D11FA2">
        <w:lastRenderedPageBreak/>
        <w:t>Bottom-up approaches</w:t>
      </w:r>
      <w:bookmarkEnd w:id="5"/>
      <w:r w:rsidRPr="00D11FA2">
        <w:t xml:space="preserve">  </w:t>
      </w:r>
    </w:p>
    <w:p w:rsidR="005F7F0D" w:rsidRPr="00073A51"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In 2009</w:t>
      </w:r>
      <w:r w:rsidR="00B75E72">
        <w:rPr>
          <w:rFonts w:ascii="Times New Roman" w:hAnsi="Times New Roman" w:cs="Times New Roman"/>
          <w:sz w:val="24"/>
          <w:szCs w:val="24"/>
        </w:rPr>
        <w:t>,</w:t>
      </w:r>
      <w:r w:rsidRPr="00D11FA2">
        <w:rPr>
          <w:rFonts w:ascii="Times New Roman" w:hAnsi="Times New Roman" w:cs="Times New Roman"/>
          <w:sz w:val="24"/>
          <w:szCs w:val="24"/>
        </w:rPr>
        <w:t xml:space="preserve"> the G8 drew attention in a set of recommendations to the global spread of sensitive knowledge, highlighting </w:t>
      </w:r>
      <w:r w:rsidRPr="002074B2">
        <w:rPr>
          <w:rFonts w:ascii="Times New Roman" w:hAnsi="Times New Roman" w:cs="Times New Roman"/>
          <w:sz w:val="24"/>
          <w:szCs w:val="24"/>
        </w:rPr>
        <w:t xml:space="preserve">the importance of </w:t>
      </w:r>
      <w:r w:rsidR="00B75E72" w:rsidRPr="002074B2">
        <w:rPr>
          <w:rFonts w:ascii="Times New Roman" w:hAnsi="Times New Roman" w:cs="Times New Roman"/>
          <w:sz w:val="24"/>
          <w:szCs w:val="24"/>
        </w:rPr>
        <w:t xml:space="preserve">the engagement of </w:t>
      </w:r>
      <w:r w:rsidRPr="002074B2">
        <w:rPr>
          <w:rFonts w:ascii="Times New Roman" w:hAnsi="Times New Roman" w:cs="Times New Roman"/>
          <w:sz w:val="24"/>
          <w:szCs w:val="24"/>
        </w:rPr>
        <w:t>scientist</w:t>
      </w:r>
      <w:r w:rsidR="00B75E72" w:rsidRPr="002074B2">
        <w:rPr>
          <w:rFonts w:ascii="Times New Roman" w:hAnsi="Times New Roman" w:cs="Times New Roman"/>
          <w:sz w:val="24"/>
          <w:szCs w:val="24"/>
        </w:rPr>
        <w:t>s</w:t>
      </w:r>
      <w:r w:rsidRPr="002074B2">
        <w:rPr>
          <w:rFonts w:ascii="Times New Roman" w:hAnsi="Times New Roman" w:cs="Times New Roman"/>
          <w:sz w:val="24"/>
          <w:szCs w:val="24"/>
        </w:rPr>
        <w:t>.</w:t>
      </w:r>
      <w:r w:rsidRPr="002074B2">
        <w:rPr>
          <w:rStyle w:val="FootnoteReference"/>
          <w:rFonts w:ascii="Times New Roman" w:hAnsi="Times New Roman" w:cs="Times New Roman"/>
        </w:rPr>
        <w:footnoteReference w:id="14"/>
      </w:r>
      <w:r w:rsidRPr="002074B2">
        <w:rPr>
          <w:rFonts w:ascii="Times New Roman" w:hAnsi="Times New Roman" w:cs="Times New Roman"/>
          <w:sz w:val="24"/>
          <w:szCs w:val="24"/>
        </w:rPr>
        <w:t xml:space="preserve"> </w:t>
      </w:r>
      <w:r w:rsidR="0048529D" w:rsidRPr="002074B2">
        <w:rPr>
          <w:rFonts w:ascii="Times New Roman" w:hAnsi="Times New Roman" w:cs="Times New Roman"/>
          <w:sz w:val="24"/>
          <w:szCs w:val="24"/>
        </w:rPr>
        <w:t xml:space="preserve">Amongst these were the promotion of </w:t>
      </w:r>
      <w:r w:rsidR="0048529D" w:rsidRPr="00374B0C">
        <w:rPr>
          <w:rFonts w:ascii="Times New Roman" w:hAnsi="Times New Roman" w:cs="Times New Roman"/>
          <w:sz w:val="24"/>
          <w:szCs w:val="24"/>
        </w:rPr>
        <w:t>g</w:t>
      </w:r>
      <w:r w:rsidRPr="002074B2">
        <w:rPr>
          <w:rFonts w:ascii="Times New Roman" w:hAnsi="Times New Roman" w:cs="Times New Roman"/>
          <w:sz w:val="24"/>
          <w:szCs w:val="24"/>
        </w:rPr>
        <w:t xml:space="preserve">rassroots cooperation models and raising awareness and responsibility </w:t>
      </w:r>
      <w:r w:rsidR="0048529D" w:rsidRPr="00374B0C">
        <w:rPr>
          <w:rFonts w:ascii="Times New Roman" w:hAnsi="Times New Roman" w:cs="Times New Roman"/>
          <w:sz w:val="24"/>
          <w:szCs w:val="24"/>
        </w:rPr>
        <w:t xml:space="preserve">as approaches </w:t>
      </w:r>
      <w:r w:rsidRPr="002074B2">
        <w:rPr>
          <w:rFonts w:ascii="Times New Roman" w:hAnsi="Times New Roman" w:cs="Times New Roman"/>
          <w:sz w:val="24"/>
          <w:szCs w:val="24"/>
        </w:rPr>
        <w:t xml:space="preserve">to prevent unintended malicious </w:t>
      </w:r>
      <w:r w:rsidR="0048529D" w:rsidRPr="00374B0C">
        <w:rPr>
          <w:rFonts w:ascii="Times New Roman" w:hAnsi="Times New Roman" w:cs="Times New Roman"/>
          <w:sz w:val="24"/>
          <w:szCs w:val="24"/>
        </w:rPr>
        <w:t>misuse of knowledge</w:t>
      </w:r>
      <w:r w:rsidRPr="002074B2">
        <w:rPr>
          <w:rFonts w:ascii="Times New Roman" w:hAnsi="Times New Roman" w:cs="Times New Roman"/>
          <w:sz w:val="24"/>
          <w:szCs w:val="24"/>
        </w:rPr>
        <w:t>.</w:t>
      </w:r>
      <w:r w:rsidRPr="002074B2">
        <w:rPr>
          <w:rStyle w:val="FootnoteReference"/>
          <w:rFonts w:ascii="Times New Roman" w:hAnsi="Times New Roman" w:cs="Times New Roman"/>
        </w:rPr>
        <w:footnoteReference w:id="15"/>
      </w:r>
      <w:r w:rsidRPr="00073A51">
        <w:rPr>
          <w:rFonts w:ascii="Times New Roman" w:hAnsi="Times New Roman" w:cs="Times New Roman"/>
          <w:sz w:val="24"/>
          <w:szCs w:val="24"/>
        </w:rPr>
        <w:t xml:space="preserve">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The</w:t>
      </w:r>
      <w:r w:rsidRPr="00073A51">
        <w:rPr>
          <w:rFonts w:ascii="Times New Roman" w:hAnsi="Times New Roman" w:cs="Times New Roman"/>
          <w:sz w:val="24"/>
          <w:szCs w:val="24"/>
        </w:rPr>
        <w:t xml:space="preserve"> G8 stated that the</w:t>
      </w:r>
      <w:r w:rsidRPr="00D11FA2">
        <w:rPr>
          <w:rFonts w:ascii="Times New Roman" w:hAnsi="Times New Roman" w:cs="Times New Roman"/>
          <w:sz w:val="24"/>
          <w:szCs w:val="24"/>
        </w:rPr>
        <w:t xml:space="preserve"> human factor is a key element in any effective non-proliferation policy. </w:t>
      </w:r>
      <w:r w:rsidR="00B75E72">
        <w:rPr>
          <w:rFonts w:ascii="Times New Roman" w:hAnsi="Times New Roman" w:cs="Times New Roman"/>
          <w:sz w:val="24"/>
          <w:szCs w:val="24"/>
        </w:rPr>
        <w:t>The also noted that s</w:t>
      </w:r>
      <w:r w:rsidRPr="00D11FA2">
        <w:rPr>
          <w:rFonts w:ascii="Times New Roman" w:hAnsi="Times New Roman" w:cs="Times New Roman"/>
          <w:sz w:val="24"/>
          <w:szCs w:val="24"/>
        </w:rPr>
        <w:t xml:space="preserve">cientists with specific knowledge </w:t>
      </w:r>
      <w:r w:rsidR="00B75E72">
        <w:rPr>
          <w:rFonts w:ascii="Times New Roman" w:hAnsi="Times New Roman" w:cs="Times New Roman"/>
          <w:sz w:val="24"/>
          <w:szCs w:val="24"/>
        </w:rPr>
        <w:t>about</w:t>
      </w:r>
      <w:r w:rsidR="00B75E72"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sensitive CBRN-related technologies, including dual-use technologies, play an important role in this respect, for example, in working together on projects that advance international, regional or bilateral non-proliferation objectives.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The lessons learned </w:t>
      </w:r>
      <w:r w:rsidR="00B75E72">
        <w:rPr>
          <w:rFonts w:ascii="Times New Roman" w:hAnsi="Times New Roman" w:cs="Times New Roman"/>
          <w:sz w:val="24"/>
          <w:szCs w:val="24"/>
        </w:rPr>
        <w:t>through</w:t>
      </w:r>
      <w:r w:rsidR="00B75E72"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the </w:t>
      </w:r>
      <w:r w:rsidR="00B75E72">
        <w:rPr>
          <w:rFonts w:ascii="Times New Roman" w:hAnsi="Times New Roman" w:cs="Times New Roman"/>
          <w:sz w:val="24"/>
          <w:szCs w:val="24"/>
        </w:rPr>
        <w:t>ISTC and the STCU</w:t>
      </w:r>
      <w:r w:rsidRPr="00D11FA2">
        <w:rPr>
          <w:rFonts w:ascii="Times New Roman" w:hAnsi="Times New Roman" w:cs="Times New Roman"/>
          <w:sz w:val="24"/>
          <w:szCs w:val="24"/>
        </w:rPr>
        <w:t xml:space="preserve">, and </w:t>
      </w:r>
      <w:r w:rsidR="00B75E72">
        <w:rPr>
          <w:rFonts w:ascii="Times New Roman" w:hAnsi="Times New Roman" w:cs="Times New Roman"/>
          <w:sz w:val="24"/>
          <w:szCs w:val="24"/>
        </w:rPr>
        <w:t>through</w:t>
      </w:r>
      <w:r w:rsidR="00B75E72" w:rsidRPr="00D11FA2">
        <w:rPr>
          <w:rFonts w:ascii="Times New Roman" w:hAnsi="Times New Roman" w:cs="Times New Roman"/>
          <w:sz w:val="24"/>
          <w:szCs w:val="24"/>
        </w:rPr>
        <w:t xml:space="preserve"> </w:t>
      </w:r>
      <w:r w:rsidRPr="00D11FA2">
        <w:rPr>
          <w:rFonts w:ascii="Times New Roman" w:hAnsi="Times New Roman" w:cs="Times New Roman"/>
          <w:sz w:val="24"/>
          <w:szCs w:val="24"/>
        </w:rPr>
        <w:t>other bilateral programmes</w:t>
      </w:r>
      <w:r w:rsidR="00B75E72">
        <w:rPr>
          <w:rFonts w:ascii="Times New Roman" w:hAnsi="Times New Roman" w:cs="Times New Roman"/>
          <w:sz w:val="24"/>
          <w:szCs w:val="24"/>
        </w:rPr>
        <w:t>,</w:t>
      </w:r>
      <w:r w:rsidRPr="00D11FA2">
        <w:rPr>
          <w:rFonts w:ascii="Times New Roman" w:hAnsi="Times New Roman" w:cs="Times New Roman"/>
          <w:sz w:val="24"/>
          <w:szCs w:val="24"/>
        </w:rPr>
        <w:t xml:space="preserve"> could be used to contribute to global non-proliferation efforts. At the same time</w:t>
      </w:r>
      <w:r w:rsidRPr="00D11FA2">
        <w:rPr>
          <w:rFonts w:ascii="Times New Roman" w:eastAsia="Times New Roman" w:hAnsi="Times New Roman" w:cs="Times New Roman"/>
          <w:color w:val="2F3134"/>
          <w:w w:val="105"/>
          <w:sz w:val="27"/>
          <w:szCs w:val="27"/>
        </w:rPr>
        <w:t>,</w:t>
      </w:r>
      <w:r w:rsidRPr="00073A51">
        <w:rPr>
          <w:rFonts w:ascii="Times New Roman" w:eastAsia="Times New Roman" w:hAnsi="Times New Roman" w:cs="Times New Roman"/>
          <w:color w:val="2F3134"/>
          <w:w w:val="105"/>
          <w:sz w:val="24"/>
          <w:szCs w:val="24"/>
        </w:rPr>
        <w:t xml:space="preserve"> greater effort should be made</w:t>
      </w:r>
      <w:r w:rsidR="00B75E72">
        <w:rPr>
          <w:rFonts w:ascii="Times New Roman" w:eastAsia="Times New Roman" w:hAnsi="Times New Roman" w:cs="Times New Roman"/>
          <w:color w:val="2F3134"/>
          <w:w w:val="105"/>
          <w:sz w:val="24"/>
          <w:szCs w:val="24"/>
        </w:rPr>
        <w:t>:</w:t>
      </w:r>
      <w:r w:rsidRPr="00073A51">
        <w:rPr>
          <w:rFonts w:ascii="Times New Roman" w:eastAsia="Times New Roman" w:hAnsi="Times New Roman" w:cs="Times New Roman"/>
          <w:color w:val="2F3134"/>
          <w:w w:val="105"/>
          <w:sz w:val="24"/>
          <w:szCs w:val="24"/>
        </w:rPr>
        <w:t xml:space="preserve"> (i)</w:t>
      </w:r>
      <w:r w:rsidRPr="00073A51">
        <w:rPr>
          <w:rFonts w:ascii="Times New Roman" w:eastAsia="Times New Roman" w:hAnsi="Times New Roman" w:cs="Times New Roman"/>
          <w:color w:val="2F3134"/>
          <w:w w:val="105"/>
          <w:sz w:val="27"/>
          <w:szCs w:val="27"/>
        </w:rPr>
        <w:t xml:space="preserve"> </w:t>
      </w:r>
      <w:r w:rsidRPr="00D11FA2">
        <w:rPr>
          <w:rFonts w:ascii="Times New Roman" w:hAnsi="Times New Roman" w:cs="Times New Roman"/>
          <w:sz w:val="24"/>
          <w:szCs w:val="24"/>
        </w:rPr>
        <w:t>to foster awareness of the multiple uses of high-risk materials and sensitive know-how and technologies, thereby contributing to a risk-conscious culture among scientists at all levels</w:t>
      </w:r>
      <w:r w:rsidR="00B75E72">
        <w:rPr>
          <w:rFonts w:ascii="Times New Roman" w:hAnsi="Times New Roman" w:cs="Times New Roman"/>
          <w:sz w:val="24"/>
          <w:szCs w:val="24"/>
        </w:rPr>
        <w:t>;</w:t>
      </w:r>
      <w:r w:rsidRPr="00D11FA2">
        <w:rPr>
          <w:rFonts w:ascii="Times New Roman" w:hAnsi="Times New Roman" w:cs="Times New Roman"/>
          <w:sz w:val="24"/>
          <w:szCs w:val="24"/>
        </w:rPr>
        <w:t xml:space="preserve"> and (ii) </w:t>
      </w:r>
      <w:r w:rsidRPr="00073A51">
        <w:rPr>
          <w:rFonts w:ascii="Times New Roman" w:hAnsi="Times New Roman" w:cs="Times New Roman"/>
          <w:sz w:val="24"/>
          <w:szCs w:val="24"/>
        </w:rPr>
        <w:t xml:space="preserve">to improve </w:t>
      </w:r>
      <w:r w:rsidRPr="00D11FA2">
        <w:rPr>
          <w:rFonts w:ascii="Times New Roman" w:hAnsi="Times New Roman" w:cs="Times New Roman"/>
          <w:sz w:val="24"/>
          <w:szCs w:val="24"/>
        </w:rPr>
        <w:t>education and training in areas where knowledge and expertise are rapidly advancing.</w:t>
      </w:r>
      <w:r w:rsidRPr="00D11FA2">
        <w:rPr>
          <w:rStyle w:val="FootnoteReference"/>
          <w:rFonts w:ascii="Times New Roman" w:hAnsi="Times New Roman" w:cs="Times New Roman"/>
        </w:rPr>
        <w:footnoteReference w:id="16"/>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As a possible way forward</w:t>
      </w:r>
      <w:r w:rsidRPr="00073A51">
        <w:rPr>
          <w:rFonts w:ascii="Times New Roman" w:hAnsi="Times New Roman" w:cs="Times New Roman"/>
          <w:sz w:val="24"/>
          <w:szCs w:val="24"/>
        </w:rPr>
        <w:t>,</w:t>
      </w:r>
      <w:r w:rsidRPr="00D11FA2">
        <w:rPr>
          <w:rFonts w:ascii="Times New Roman" w:hAnsi="Times New Roman" w:cs="Times New Roman"/>
          <w:sz w:val="24"/>
          <w:szCs w:val="24"/>
        </w:rPr>
        <w:t xml:space="preserve"> the development of and experience with cooperation models</w:t>
      </w:r>
      <w:r w:rsidR="00B75E72">
        <w:rPr>
          <w:rFonts w:ascii="Times New Roman" w:hAnsi="Times New Roman" w:cs="Times New Roman"/>
          <w:sz w:val="24"/>
          <w:szCs w:val="24"/>
        </w:rPr>
        <w:t>,</w:t>
      </w:r>
      <w:r w:rsidRPr="00D11FA2">
        <w:rPr>
          <w:rFonts w:ascii="Times New Roman" w:hAnsi="Times New Roman" w:cs="Times New Roman"/>
          <w:sz w:val="24"/>
          <w:szCs w:val="24"/>
        </w:rPr>
        <w:t xml:space="preserve"> such as </w:t>
      </w:r>
      <w:r w:rsidR="00B75E72">
        <w:rPr>
          <w:rFonts w:ascii="Times New Roman" w:hAnsi="Times New Roman" w:cs="Times New Roman"/>
          <w:sz w:val="24"/>
          <w:szCs w:val="24"/>
        </w:rPr>
        <w:t>those</w:t>
      </w:r>
      <w:r w:rsidR="00B75E72" w:rsidRPr="00D11FA2">
        <w:rPr>
          <w:rFonts w:ascii="Times New Roman" w:hAnsi="Times New Roman" w:cs="Times New Roman"/>
          <w:sz w:val="24"/>
          <w:szCs w:val="24"/>
        </w:rPr>
        <w:t xml:space="preserve"> </w:t>
      </w:r>
      <w:r w:rsidRPr="00D11FA2">
        <w:rPr>
          <w:rFonts w:ascii="Times New Roman" w:hAnsi="Times New Roman" w:cs="Times New Roman"/>
          <w:sz w:val="24"/>
          <w:szCs w:val="24"/>
        </w:rPr>
        <w:t>of the Science Centres, the EU’</w:t>
      </w:r>
      <w:r w:rsidRPr="00073A51">
        <w:rPr>
          <w:rFonts w:ascii="Times New Roman" w:hAnsi="Times New Roman" w:cs="Times New Roman"/>
          <w:sz w:val="24"/>
          <w:szCs w:val="24"/>
        </w:rPr>
        <w:t xml:space="preserve">s </w:t>
      </w:r>
      <w:r w:rsidRPr="00D11FA2">
        <w:rPr>
          <w:rFonts w:ascii="Times New Roman" w:hAnsi="Times New Roman" w:cs="Times New Roman"/>
          <w:sz w:val="24"/>
          <w:szCs w:val="24"/>
        </w:rPr>
        <w:t xml:space="preserve">CBRN Centres of Excellence Risk Mitigation </w:t>
      </w:r>
      <w:r w:rsidR="00B75E72">
        <w:rPr>
          <w:rFonts w:ascii="Times New Roman" w:hAnsi="Times New Roman" w:cs="Times New Roman"/>
          <w:sz w:val="24"/>
          <w:szCs w:val="24"/>
        </w:rPr>
        <w:t>I</w:t>
      </w:r>
      <w:r w:rsidRPr="00D11FA2">
        <w:rPr>
          <w:rFonts w:ascii="Times New Roman" w:hAnsi="Times New Roman" w:cs="Times New Roman"/>
          <w:sz w:val="24"/>
          <w:szCs w:val="24"/>
        </w:rPr>
        <w:t>nitiative and other forms of cooperation promoting a culture of responsibility</w:t>
      </w:r>
      <w:r w:rsidR="00B75E72">
        <w:rPr>
          <w:rFonts w:ascii="Times New Roman" w:hAnsi="Times New Roman" w:cs="Times New Roman"/>
          <w:sz w:val="24"/>
          <w:szCs w:val="24"/>
        </w:rPr>
        <w:t>,</w:t>
      </w:r>
      <w:r w:rsidRPr="00D11FA2">
        <w:rPr>
          <w:rFonts w:ascii="Times New Roman" w:hAnsi="Times New Roman" w:cs="Times New Roman"/>
          <w:sz w:val="24"/>
          <w:szCs w:val="24"/>
        </w:rPr>
        <w:t xml:space="preserve"> are highly relevant. </w:t>
      </w:r>
      <w:r w:rsidRPr="00073A51">
        <w:rPr>
          <w:rFonts w:ascii="Times New Roman" w:hAnsi="Times New Roman" w:cs="Times New Roman"/>
          <w:sz w:val="24"/>
          <w:szCs w:val="24"/>
        </w:rPr>
        <w:t xml:space="preserve">This paper further examines the progress made </w:t>
      </w:r>
      <w:r w:rsidRPr="00D11FA2">
        <w:rPr>
          <w:rFonts w:ascii="Times New Roman" w:hAnsi="Times New Roman" w:cs="Times New Roman"/>
          <w:sz w:val="24"/>
          <w:szCs w:val="24"/>
        </w:rPr>
        <w:t>with these various policy tools.</w:t>
      </w:r>
    </w:p>
    <w:p w:rsidR="005F7F0D" w:rsidRPr="00073A51" w:rsidRDefault="005F7F0D" w:rsidP="005F7F0D">
      <w:pPr>
        <w:pStyle w:val="Heading2"/>
      </w:pPr>
      <w:bookmarkStart w:id="6" w:name="_Toc511640360"/>
      <w:r w:rsidRPr="00D11FA2">
        <w:t>The Science Centres model</w:t>
      </w:r>
      <w:bookmarkEnd w:id="6"/>
    </w:p>
    <w:p w:rsidR="005F7F0D" w:rsidRPr="00073A51"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The Science Centres were established in the mid-</w:t>
      </w:r>
      <w:r w:rsidRPr="00073A51">
        <w:rPr>
          <w:rFonts w:ascii="Times New Roman" w:hAnsi="Times New Roman" w:cs="Times New Roman"/>
          <w:sz w:val="24"/>
          <w:szCs w:val="24"/>
        </w:rPr>
        <w:t>1990s</w:t>
      </w:r>
      <w:r w:rsidRPr="00D11FA2">
        <w:rPr>
          <w:rFonts w:ascii="Times New Roman" w:hAnsi="Times New Roman" w:cs="Times New Roman"/>
          <w:sz w:val="24"/>
          <w:szCs w:val="24"/>
        </w:rPr>
        <w:t xml:space="preserve">. They were built on the experience </w:t>
      </w:r>
      <w:r w:rsidRPr="00073A51">
        <w:rPr>
          <w:rFonts w:ascii="Times New Roman" w:hAnsi="Times New Roman" w:cs="Times New Roman"/>
          <w:sz w:val="24"/>
          <w:szCs w:val="24"/>
        </w:rPr>
        <w:t>gained by</w:t>
      </w:r>
      <w:r w:rsidRPr="00D11FA2">
        <w:rPr>
          <w:rFonts w:ascii="Times New Roman" w:hAnsi="Times New Roman" w:cs="Times New Roman"/>
          <w:sz w:val="24"/>
          <w:szCs w:val="24"/>
        </w:rPr>
        <w:t xml:space="preserve"> the USA-USSR lab</w:t>
      </w:r>
      <w:r w:rsidRPr="00073A51">
        <w:rPr>
          <w:rFonts w:ascii="Times New Roman" w:hAnsi="Times New Roman" w:cs="Times New Roman"/>
          <w:sz w:val="24"/>
          <w:szCs w:val="24"/>
        </w:rPr>
        <w:t>-</w:t>
      </w:r>
      <w:r w:rsidRPr="00D11FA2">
        <w:rPr>
          <w:rFonts w:ascii="Times New Roman" w:hAnsi="Times New Roman" w:cs="Times New Roman"/>
          <w:sz w:val="24"/>
          <w:szCs w:val="24"/>
        </w:rPr>
        <w:t>to</w:t>
      </w:r>
      <w:r w:rsidRPr="00073A51">
        <w:rPr>
          <w:rFonts w:ascii="Times New Roman" w:hAnsi="Times New Roman" w:cs="Times New Roman"/>
          <w:sz w:val="24"/>
          <w:szCs w:val="24"/>
        </w:rPr>
        <w:t>-</w:t>
      </w:r>
      <w:r w:rsidRPr="00D11FA2">
        <w:rPr>
          <w:rFonts w:ascii="Times New Roman" w:hAnsi="Times New Roman" w:cs="Times New Roman"/>
          <w:sz w:val="24"/>
          <w:szCs w:val="24"/>
        </w:rPr>
        <w:t xml:space="preserve">lab scientific cooperation </w:t>
      </w:r>
      <w:r w:rsidR="001A04D2">
        <w:rPr>
          <w:rFonts w:ascii="Times New Roman" w:hAnsi="Times New Roman" w:cs="Times New Roman"/>
          <w:sz w:val="24"/>
          <w:szCs w:val="24"/>
        </w:rPr>
        <w:t>initiated</w:t>
      </w:r>
      <w:r w:rsidR="001A04D2"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at the end of the </w:t>
      </w:r>
      <w:r w:rsidRPr="00073A51">
        <w:rPr>
          <w:rFonts w:ascii="Times New Roman" w:hAnsi="Times New Roman" w:cs="Times New Roman"/>
          <w:sz w:val="24"/>
          <w:szCs w:val="24"/>
        </w:rPr>
        <w:t>1980s after the Chernobyl</w:t>
      </w:r>
      <w:r w:rsidRPr="00D11FA2">
        <w:rPr>
          <w:rFonts w:ascii="Times New Roman" w:hAnsi="Times New Roman" w:cs="Times New Roman"/>
          <w:sz w:val="24"/>
          <w:szCs w:val="24"/>
        </w:rPr>
        <w:t xml:space="preserve"> accident in 1986.</w:t>
      </w:r>
      <w:r w:rsidRPr="00D11FA2">
        <w:rPr>
          <w:rStyle w:val="FootnoteReference"/>
          <w:rFonts w:ascii="Times New Roman" w:hAnsi="Times New Roman" w:cs="Times New Roman"/>
        </w:rPr>
        <w:footnoteReference w:id="17"/>
      </w:r>
      <w:r w:rsidRPr="00073A51">
        <w:rPr>
          <w:rFonts w:ascii="Times New Roman" w:hAnsi="Times New Roman" w:cs="Times New Roman"/>
          <w:sz w:val="24"/>
          <w:szCs w:val="24"/>
        </w:rPr>
        <w:t xml:space="preserve"> </w:t>
      </w:r>
    </w:p>
    <w:p w:rsidR="005F7F0D" w:rsidRPr="00073A51"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The Nunn-Lugar Cooperative Threat Reduction (CTR) policy, later known as the Cooperative Threat Reduction Program, also assisted in the establishment of the Centres. The US took a principal role in the dismantlement of the military industrial complex in the former Soviet Union under this programme. </w:t>
      </w:r>
      <w:r w:rsidR="001A04D2">
        <w:rPr>
          <w:rFonts w:ascii="Times New Roman" w:hAnsi="Times New Roman" w:cs="Times New Roman"/>
          <w:sz w:val="24"/>
          <w:szCs w:val="24"/>
        </w:rPr>
        <w:t xml:space="preserve">The </w:t>
      </w:r>
      <w:r w:rsidRPr="00D11FA2">
        <w:rPr>
          <w:rFonts w:ascii="Times New Roman" w:hAnsi="Times New Roman" w:cs="Times New Roman"/>
          <w:sz w:val="24"/>
          <w:szCs w:val="24"/>
        </w:rPr>
        <w:t xml:space="preserve">CTR and related programmes focus on protecting and eliminating CBRN stockpiles, securing nuclear weapons-usable materials and eliminating delivery systems. Some of the programme’s first successes came in 1992 when Ukraine, </w:t>
      </w:r>
      <w:r w:rsidRPr="00D11FA2">
        <w:rPr>
          <w:rFonts w:ascii="Times New Roman" w:hAnsi="Times New Roman" w:cs="Times New Roman"/>
          <w:sz w:val="24"/>
          <w:szCs w:val="24"/>
        </w:rPr>
        <w:lastRenderedPageBreak/>
        <w:t xml:space="preserve">Belarus and Kazakhstan agreed to return </w:t>
      </w:r>
      <w:r w:rsidR="001A04D2">
        <w:rPr>
          <w:rFonts w:ascii="Times New Roman" w:hAnsi="Times New Roman" w:cs="Times New Roman"/>
          <w:sz w:val="24"/>
          <w:szCs w:val="24"/>
        </w:rPr>
        <w:t xml:space="preserve">to Russia </w:t>
      </w:r>
      <w:r w:rsidRPr="00D11FA2">
        <w:rPr>
          <w:rFonts w:ascii="Times New Roman" w:hAnsi="Times New Roman" w:cs="Times New Roman"/>
          <w:sz w:val="24"/>
          <w:szCs w:val="24"/>
        </w:rPr>
        <w:t xml:space="preserve">the nuclear weapons they </w:t>
      </w:r>
      <w:r w:rsidR="001A04D2">
        <w:rPr>
          <w:rFonts w:ascii="Times New Roman" w:hAnsi="Times New Roman" w:cs="Times New Roman"/>
          <w:sz w:val="24"/>
          <w:szCs w:val="24"/>
        </w:rPr>
        <w:t xml:space="preserve">had </w:t>
      </w:r>
      <w:r w:rsidRPr="00D11FA2">
        <w:rPr>
          <w:rFonts w:ascii="Times New Roman" w:hAnsi="Times New Roman" w:cs="Times New Roman"/>
          <w:sz w:val="24"/>
          <w:szCs w:val="24"/>
        </w:rPr>
        <w:t xml:space="preserve">inherited and acceded to the </w:t>
      </w:r>
      <w:r w:rsidR="001A04D2">
        <w:rPr>
          <w:rFonts w:ascii="Times New Roman" w:hAnsi="Times New Roman" w:cs="Times New Roman"/>
          <w:sz w:val="24"/>
          <w:szCs w:val="24"/>
        </w:rPr>
        <w:t xml:space="preserve">Nuclear </w:t>
      </w:r>
      <w:r w:rsidRPr="00D11FA2">
        <w:rPr>
          <w:rFonts w:ascii="Times New Roman" w:hAnsi="Times New Roman" w:cs="Times New Roman"/>
          <w:sz w:val="24"/>
          <w:szCs w:val="24"/>
        </w:rPr>
        <w:t xml:space="preserve">Non-Proliferation Treaty (NPT) as </w:t>
      </w:r>
      <w:r w:rsidR="001A04D2">
        <w:rPr>
          <w:rFonts w:ascii="Times New Roman" w:hAnsi="Times New Roman" w:cs="Times New Roman"/>
          <w:sz w:val="24"/>
          <w:szCs w:val="24"/>
        </w:rPr>
        <w:t>NNWS</w:t>
      </w:r>
      <w:r w:rsidRPr="00D11FA2">
        <w:rPr>
          <w:rFonts w:ascii="Times New Roman" w:hAnsi="Times New Roman" w:cs="Times New Roman"/>
          <w:sz w:val="24"/>
          <w:szCs w:val="24"/>
        </w:rPr>
        <w:t>.</w:t>
      </w:r>
      <w:r w:rsidRPr="00073A51">
        <w:rPr>
          <w:rStyle w:val="FootnoteReference"/>
          <w:rFonts w:ascii="Times New Roman" w:hAnsi="Times New Roman" w:cs="Times New Roman"/>
        </w:rPr>
        <w:footnoteReference w:id="18"/>
      </w:r>
    </w:p>
    <w:p w:rsidR="005F7F0D" w:rsidRPr="00D11FA2" w:rsidRDefault="005F7F0D" w:rsidP="005F7F0D">
      <w:pPr>
        <w:rPr>
          <w:rFonts w:ascii="Times New Roman" w:hAnsi="Times New Roman" w:cs="Times New Roman"/>
          <w:sz w:val="24"/>
          <w:szCs w:val="24"/>
        </w:rPr>
      </w:pPr>
      <w:r w:rsidRPr="00073A51">
        <w:rPr>
          <w:rFonts w:ascii="Times New Roman" w:hAnsi="Times New Roman" w:cs="Times New Roman"/>
          <w:sz w:val="24"/>
          <w:szCs w:val="24"/>
        </w:rPr>
        <w:t>In the 1990s, the multilateral S</w:t>
      </w:r>
      <w:r w:rsidRPr="00D11FA2">
        <w:rPr>
          <w:rFonts w:ascii="Times New Roman" w:hAnsi="Times New Roman" w:cs="Times New Roman"/>
          <w:sz w:val="24"/>
          <w:szCs w:val="24"/>
        </w:rPr>
        <w:t xml:space="preserve">cience Centres focused on identifying and supporting underemployed CBRN and aerospace scientists and engineers </w:t>
      </w:r>
      <w:r w:rsidR="001A04D2">
        <w:rPr>
          <w:rFonts w:ascii="Times New Roman" w:hAnsi="Times New Roman" w:cs="Times New Roman"/>
          <w:sz w:val="24"/>
          <w:szCs w:val="24"/>
        </w:rPr>
        <w:t>with</w:t>
      </w:r>
      <w:r w:rsidRPr="00D11FA2">
        <w:rPr>
          <w:rFonts w:ascii="Times New Roman" w:hAnsi="Times New Roman" w:cs="Times New Roman"/>
          <w:sz w:val="24"/>
          <w:szCs w:val="24"/>
        </w:rPr>
        <w:t xml:space="preserve"> skills that might be of interest to rogue states. The aim was to redirect their talents from military research and development to peaceful purposes</w:t>
      </w:r>
      <w:r w:rsidR="001A04D2">
        <w:rPr>
          <w:rFonts w:ascii="Times New Roman" w:hAnsi="Times New Roman" w:cs="Times New Roman"/>
          <w:sz w:val="24"/>
          <w:szCs w:val="24"/>
        </w:rPr>
        <w:t>, and</w:t>
      </w:r>
      <w:r w:rsidRPr="00D11FA2">
        <w:rPr>
          <w:rFonts w:ascii="Times New Roman" w:hAnsi="Times New Roman" w:cs="Times New Roman"/>
          <w:sz w:val="24"/>
          <w:szCs w:val="24"/>
        </w:rPr>
        <w:t xml:space="preserve"> to integrate them in the worldwide scientific community. </w:t>
      </w:r>
    </w:p>
    <w:p w:rsidR="005F7F0D" w:rsidRPr="00D11FA2" w:rsidRDefault="005F7F0D" w:rsidP="005F7F0D">
      <w:r w:rsidRPr="00D11FA2">
        <w:rPr>
          <w:rFonts w:ascii="Times New Roman" w:hAnsi="Times New Roman" w:cs="Times New Roman"/>
          <w:sz w:val="24"/>
          <w:szCs w:val="24"/>
        </w:rPr>
        <w:t xml:space="preserve">The two Science Centres were established as international organizations based on international agreements. In essence, the Centres </w:t>
      </w:r>
      <w:r w:rsidR="001A04D2">
        <w:rPr>
          <w:rFonts w:ascii="Times New Roman" w:hAnsi="Times New Roman" w:cs="Times New Roman"/>
          <w:sz w:val="24"/>
          <w:szCs w:val="24"/>
        </w:rPr>
        <w:t>operate as</w:t>
      </w:r>
      <w:r w:rsidR="001A04D2"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funding agencies </w:t>
      </w:r>
      <w:r w:rsidR="001A04D2">
        <w:rPr>
          <w:rFonts w:ascii="Times New Roman" w:hAnsi="Times New Roman" w:cs="Times New Roman"/>
          <w:sz w:val="24"/>
          <w:szCs w:val="24"/>
        </w:rPr>
        <w:t>for</w:t>
      </w:r>
      <w:r w:rsidRPr="00D11FA2">
        <w:rPr>
          <w:rFonts w:ascii="Times New Roman" w:hAnsi="Times New Roman" w:cs="Times New Roman"/>
          <w:sz w:val="24"/>
          <w:szCs w:val="24"/>
        </w:rPr>
        <w:t xml:space="preserve"> proposals </w:t>
      </w:r>
      <w:r w:rsidR="001A04D2">
        <w:rPr>
          <w:rFonts w:ascii="Times New Roman" w:hAnsi="Times New Roman" w:cs="Times New Roman"/>
          <w:sz w:val="24"/>
          <w:szCs w:val="24"/>
        </w:rPr>
        <w:t>submitted by</w:t>
      </w:r>
      <w:r w:rsidR="001A04D2" w:rsidRPr="00D11FA2">
        <w:rPr>
          <w:rFonts w:ascii="Times New Roman" w:hAnsi="Times New Roman" w:cs="Times New Roman"/>
          <w:sz w:val="24"/>
          <w:szCs w:val="24"/>
        </w:rPr>
        <w:t xml:space="preserve"> </w:t>
      </w:r>
      <w:r w:rsidRPr="00D11FA2">
        <w:rPr>
          <w:rFonts w:ascii="Times New Roman" w:hAnsi="Times New Roman" w:cs="Times New Roman"/>
          <w:sz w:val="24"/>
          <w:szCs w:val="24"/>
        </w:rPr>
        <w:t>research institutes. They do not conduct research themselves</w:t>
      </w:r>
      <w:r w:rsidR="001A04D2">
        <w:rPr>
          <w:rFonts w:ascii="Times New Roman" w:hAnsi="Times New Roman" w:cs="Times New Roman"/>
          <w:sz w:val="24"/>
          <w:szCs w:val="24"/>
        </w:rPr>
        <w:t>,</w:t>
      </w:r>
      <w:r w:rsidRPr="00D11FA2">
        <w:rPr>
          <w:rFonts w:ascii="Times New Roman" w:hAnsi="Times New Roman" w:cs="Times New Roman"/>
          <w:sz w:val="24"/>
          <w:szCs w:val="24"/>
        </w:rPr>
        <w:t xml:space="preserve"> but </w:t>
      </w:r>
      <w:r w:rsidR="001A04D2">
        <w:rPr>
          <w:rFonts w:ascii="Times New Roman" w:hAnsi="Times New Roman" w:cs="Times New Roman"/>
          <w:sz w:val="24"/>
          <w:szCs w:val="24"/>
        </w:rPr>
        <w:t xml:space="preserve">rather </w:t>
      </w:r>
      <w:r w:rsidRPr="00D11FA2">
        <w:rPr>
          <w:rFonts w:ascii="Times New Roman" w:hAnsi="Times New Roman" w:cs="Times New Roman"/>
          <w:sz w:val="24"/>
          <w:szCs w:val="24"/>
        </w:rPr>
        <w:t xml:space="preserve">pool resources </w:t>
      </w:r>
      <w:r w:rsidRPr="00073A51">
        <w:rPr>
          <w:rFonts w:ascii="Times New Roman" w:hAnsi="Times New Roman" w:cs="Times New Roman"/>
          <w:sz w:val="24"/>
          <w:szCs w:val="24"/>
        </w:rPr>
        <w:t xml:space="preserve">from </w:t>
      </w:r>
      <w:r w:rsidRPr="00D11FA2">
        <w:rPr>
          <w:rFonts w:ascii="Times New Roman" w:hAnsi="Times New Roman" w:cs="Times New Roman"/>
          <w:sz w:val="24"/>
          <w:szCs w:val="24"/>
        </w:rPr>
        <w:t>among the main funding parties</w:t>
      </w:r>
      <w:r w:rsidR="001A04D2">
        <w:rPr>
          <w:rFonts w:ascii="Times New Roman" w:hAnsi="Times New Roman" w:cs="Times New Roman"/>
          <w:sz w:val="24"/>
          <w:szCs w:val="24"/>
        </w:rPr>
        <w:t>,</w:t>
      </w:r>
      <w:r w:rsidRPr="00D11FA2">
        <w:rPr>
          <w:rFonts w:ascii="Times New Roman" w:hAnsi="Times New Roman" w:cs="Times New Roman"/>
          <w:sz w:val="24"/>
          <w:szCs w:val="24"/>
        </w:rPr>
        <w:t xml:space="preserve"> such as the EU, </w:t>
      </w:r>
      <w:r w:rsidR="001A04D2">
        <w:rPr>
          <w:rFonts w:ascii="Times New Roman" w:hAnsi="Times New Roman" w:cs="Times New Roman"/>
          <w:sz w:val="24"/>
          <w:szCs w:val="24"/>
        </w:rPr>
        <w:t>the U.S.</w:t>
      </w:r>
      <w:r w:rsidR="001A04D2"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and Japan. </w:t>
      </w:r>
      <w:r w:rsidR="001A04D2">
        <w:rPr>
          <w:rFonts w:ascii="Times New Roman" w:hAnsi="Times New Roman" w:cs="Times New Roman"/>
          <w:sz w:val="24"/>
          <w:szCs w:val="24"/>
        </w:rPr>
        <w:t>In</w:t>
      </w:r>
      <w:r w:rsidRPr="00D11FA2">
        <w:rPr>
          <w:rFonts w:ascii="Times New Roman" w:hAnsi="Times New Roman" w:cs="Times New Roman"/>
          <w:sz w:val="24"/>
          <w:szCs w:val="24"/>
        </w:rPr>
        <w:t xml:space="preserve"> funding research and development activities, the Centres provide salary supplements, research equipment and supplies for laboratory experiments.</w:t>
      </w:r>
      <w:r w:rsidRPr="00D11FA2">
        <w:rPr>
          <w:rStyle w:val="FootnoteReference"/>
          <w:rFonts w:ascii="Times New Roman" w:hAnsi="Times New Roman" w:cs="Times New Roman"/>
        </w:rPr>
        <w:footnoteReference w:id="19"/>
      </w:r>
      <w:r w:rsidRPr="00D11FA2">
        <w:rPr>
          <w:rFonts w:ascii="Times New Roman" w:hAnsi="Times New Roman" w:cs="Times New Roman"/>
          <w:sz w:val="24"/>
          <w:szCs w:val="24"/>
        </w:rPr>
        <w:t xml:space="preserve"> Over the years, their membership </w:t>
      </w:r>
      <w:r w:rsidR="001A04D2">
        <w:rPr>
          <w:rFonts w:ascii="Times New Roman" w:hAnsi="Times New Roman" w:cs="Times New Roman"/>
          <w:sz w:val="24"/>
          <w:szCs w:val="24"/>
        </w:rPr>
        <w:t xml:space="preserve">has </w:t>
      </w:r>
      <w:r w:rsidRPr="00D11FA2">
        <w:rPr>
          <w:rFonts w:ascii="Times New Roman" w:hAnsi="Times New Roman" w:cs="Times New Roman"/>
          <w:sz w:val="24"/>
          <w:szCs w:val="24"/>
        </w:rPr>
        <w:t xml:space="preserve">expanded </w:t>
      </w:r>
      <w:r w:rsidR="001A04D2">
        <w:rPr>
          <w:rFonts w:ascii="Times New Roman" w:hAnsi="Times New Roman" w:cs="Times New Roman"/>
          <w:sz w:val="24"/>
          <w:szCs w:val="24"/>
        </w:rPr>
        <w:t>to include</w:t>
      </w:r>
      <w:r w:rsidR="001A04D2"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all countries of the former Soviet Union </w:t>
      </w:r>
      <w:r w:rsidR="001A04D2">
        <w:rPr>
          <w:rFonts w:ascii="Times New Roman" w:hAnsi="Times New Roman" w:cs="Times New Roman"/>
          <w:sz w:val="24"/>
          <w:szCs w:val="24"/>
        </w:rPr>
        <w:t>(</w:t>
      </w:r>
      <w:r w:rsidRPr="00D11FA2">
        <w:rPr>
          <w:rFonts w:ascii="Times New Roman" w:hAnsi="Times New Roman" w:cs="Times New Roman"/>
          <w:sz w:val="24"/>
          <w:szCs w:val="24"/>
        </w:rPr>
        <w:t>except Turkmenistan</w:t>
      </w:r>
      <w:r w:rsidR="001A04D2">
        <w:rPr>
          <w:rFonts w:ascii="Times New Roman" w:hAnsi="Times New Roman" w:cs="Times New Roman"/>
          <w:sz w:val="24"/>
          <w:szCs w:val="24"/>
        </w:rPr>
        <w:t>)</w:t>
      </w:r>
      <w:r w:rsidRPr="00D11FA2">
        <w:rPr>
          <w:rFonts w:ascii="Times New Roman" w:hAnsi="Times New Roman" w:cs="Times New Roman"/>
          <w:sz w:val="24"/>
          <w:szCs w:val="24"/>
        </w:rPr>
        <w:t>.</w:t>
      </w:r>
      <w:r w:rsidR="00EC1D7E">
        <w:rPr>
          <w:rFonts w:ascii="Times New Roman" w:hAnsi="Times New Roman" w:cs="Times New Roman"/>
          <w:sz w:val="24"/>
          <w:szCs w:val="24"/>
        </w:rPr>
        <w:t xml:space="preserve"> </w:t>
      </w:r>
      <w:r w:rsidR="001A04D2">
        <w:rPr>
          <w:rFonts w:ascii="Times New Roman" w:hAnsi="Times New Roman" w:cs="Times New Roman"/>
          <w:sz w:val="24"/>
          <w:szCs w:val="24"/>
        </w:rPr>
        <w:t>N</w:t>
      </w:r>
      <w:r w:rsidR="001A04D2" w:rsidRPr="00D11FA2">
        <w:rPr>
          <w:rFonts w:ascii="Times New Roman" w:hAnsi="Times New Roman" w:cs="Times New Roman"/>
          <w:sz w:val="24"/>
          <w:szCs w:val="24"/>
        </w:rPr>
        <w:t xml:space="preserve">umerous </w:t>
      </w:r>
      <w:r w:rsidRPr="00D11FA2">
        <w:rPr>
          <w:rFonts w:ascii="Times New Roman" w:hAnsi="Times New Roman" w:cs="Times New Roman"/>
          <w:sz w:val="24"/>
          <w:szCs w:val="24"/>
        </w:rPr>
        <w:t xml:space="preserve">former weapons scientists, engineers and institutes funded </w:t>
      </w:r>
      <w:r w:rsidR="001A04D2">
        <w:rPr>
          <w:rFonts w:ascii="Times New Roman" w:hAnsi="Times New Roman" w:cs="Times New Roman"/>
          <w:sz w:val="24"/>
          <w:szCs w:val="24"/>
        </w:rPr>
        <w:t xml:space="preserve">through the </w:t>
      </w:r>
      <w:proofErr w:type="spellStart"/>
      <w:r w:rsidR="001A04D2">
        <w:rPr>
          <w:rFonts w:ascii="Times New Roman" w:hAnsi="Times New Roman" w:cs="Times New Roman"/>
          <w:sz w:val="24"/>
          <w:szCs w:val="24"/>
        </w:rPr>
        <w:t>Centers</w:t>
      </w:r>
      <w:proofErr w:type="spellEnd"/>
      <w:r w:rsidR="001A04D2" w:rsidRPr="00D11FA2">
        <w:rPr>
          <w:rFonts w:ascii="Times New Roman" w:hAnsi="Times New Roman" w:cs="Times New Roman"/>
          <w:sz w:val="24"/>
          <w:szCs w:val="24"/>
        </w:rPr>
        <w:t xml:space="preserve"> </w:t>
      </w:r>
      <w:r w:rsidRPr="00D11FA2">
        <w:rPr>
          <w:rFonts w:ascii="Times New Roman" w:hAnsi="Times New Roman" w:cs="Times New Roman"/>
          <w:sz w:val="24"/>
          <w:szCs w:val="24"/>
        </w:rPr>
        <w:t>participated in peaceful collaborative research and development projects.</w:t>
      </w:r>
      <w:r w:rsidRPr="00073A51">
        <w:t xml:space="preserve"> </w:t>
      </w:r>
      <w:r w:rsidR="001A04D2" w:rsidRPr="001A04D2">
        <w:rPr>
          <w:rFonts w:ascii="Times New Roman" w:hAnsi="Times New Roman" w:cs="Times New Roman"/>
          <w:sz w:val="24"/>
          <w:szCs w:val="24"/>
        </w:rPr>
        <w:t>Initially, the w</w:t>
      </w:r>
      <w:r w:rsidRPr="00D11FA2">
        <w:rPr>
          <w:rFonts w:ascii="Times New Roman" w:hAnsi="Times New Roman" w:cs="Times New Roman"/>
          <w:sz w:val="24"/>
          <w:szCs w:val="24"/>
        </w:rPr>
        <w:t>ork mainly took place in so-called closed cities</w:t>
      </w:r>
      <w:r w:rsidRPr="00073A51">
        <w:rPr>
          <w:rFonts w:ascii="Times New Roman" w:hAnsi="Times New Roman" w:cs="Times New Roman"/>
          <w:sz w:val="24"/>
          <w:szCs w:val="24"/>
        </w:rPr>
        <w:t xml:space="preserve"> and institutes</w:t>
      </w:r>
      <w:r w:rsidR="001A04D2">
        <w:rPr>
          <w:rFonts w:ascii="Times New Roman" w:hAnsi="Times New Roman" w:cs="Times New Roman"/>
          <w:sz w:val="24"/>
          <w:szCs w:val="24"/>
        </w:rPr>
        <w:t>,</w:t>
      </w:r>
      <w:r w:rsidRPr="00073A51">
        <w:rPr>
          <w:rFonts w:ascii="Times New Roman" w:hAnsi="Times New Roman" w:cs="Times New Roman"/>
          <w:sz w:val="24"/>
          <w:szCs w:val="24"/>
        </w:rPr>
        <w:t xml:space="preserve"> </w:t>
      </w:r>
      <w:r w:rsidRPr="00D11FA2">
        <w:rPr>
          <w:rFonts w:ascii="Times New Roman" w:hAnsi="Times New Roman" w:cs="Times New Roman"/>
          <w:sz w:val="24"/>
          <w:szCs w:val="24"/>
        </w:rPr>
        <w:t>such as</w:t>
      </w:r>
      <w:r w:rsidRPr="00073A51">
        <w:rPr>
          <w:rFonts w:ascii="Times New Roman" w:hAnsi="Times New Roman" w:cs="Times New Roman"/>
          <w:sz w:val="24"/>
          <w:szCs w:val="24"/>
        </w:rPr>
        <w:t xml:space="preserve"> </w:t>
      </w:r>
      <w:proofErr w:type="spellStart"/>
      <w:r w:rsidRPr="00D11FA2">
        <w:rPr>
          <w:rFonts w:ascii="Times New Roman" w:hAnsi="Times New Roman" w:cs="Times New Roman"/>
          <w:sz w:val="24"/>
          <w:szCs w:val="24"/>
        </w:rPr>
        <w:t>Sarov</w:t>
      </w:r>
      <w:proofErr w:type="spellEnd"/>
      <w:r w:rsidR="001A04D2">
        <w:rPr>
          <w:rFonts w:ascii="Times New Roman" w:hAnsi="Times New Roman" w:cs="Times New Roman"/>
          <w:sz w:val="24"/>
          <w:szCs w:val="24"/>
        </w:rPr>
        <w:t>,</w:t>
      </w:r>
      <w:r w:rsidRPr="00D11FA2">
        <w:rPr>
          <w:rFonts w:ascii="Times New Roman" w:hAnsi="Times New Roman" w:cs="Times New Roman"/>
          <w:sz w:val="24"/>
          <w:szCs w:val="24"/>
        </w:rPr>
        <w:t xml:space="preserve"> where Andrei Sakharov and other well-known scientists had worked in the past. </w:t>
      </w:r>
      <w:r w:rsidR="00155782">
        <w:rPr>
          <w:rFonts w:ascii="Times New Roman" w:hAnsi="Times New Roman" w:cs="Times New Roman"/>
          <w:sz w:val="24"/>
          <w:szCs w:val="24"/>
        </w:rPr>
        <w:t>Other</w:t>
      </w:r>
      <w:r w:rsidR="00155782" w:rsidRPr="00D11FA2">
        <w:rPr>
          <w:rFonts w:ascii="Times New Roman" w:hAnsi="Times New Roman" w:cs="Times New Roman"/>
          <w:sz w:val="24"/>
          <w:szCs w:val="24"/>
        </w:rPr>
        <w:t xml:space="preserve"> </w:t>
      </w:r>
      <w:r w:rsidRPr="00D11FA2">
        <w:rPr>
          <w:rFonts w:ascii="Times New Roman" w:hAnsi="Times New Roman" w:cs="Times New Roman"/>
          <w:sz w:val="24"/>
          <w:szCs w:val="24"/>
        </w:rPr>
        <w:t>example</w:t>
      </w:r>
      <w:r w:rsidR="00155782">
        <w:rPr>
          <w:rFonts w:ascii="Times New Roman" w:hAnsi="Times New Roman" w:cs="Times New Roman"/>
          <w:sz w:val="24"/>
          <w:szCs w:val="24"/>
        </w:rPr>
        <w:t>s</w:t>
      </w:r>
      <w:r w:rsidRPr="00D11FA2">
        <w:rPr>
          <w:rFonts w:ascii="Times New Roman" w:hAnsi="Times New Roman" w:cs="Times New Roman"/>
          <w:sz w:val="24"/>
          <w:szCs w:val="24"/>
        </w:rPr>
        <w:t xml:space="preserve"> </w:t>
      </w:r>
      <w:r w:rsidR="00155782">
        <w:rPr>
          <w:rFonts w:ascii="Times New Roman" w:hAnsi="Times New Roman" w:cs="Times New Roman"/>
          <w:sz w:val="24"/>
          <w:szCs w:val="24"/>
        </w:rPr>
        <w:t xml:space="preserve">are the 57 </w:t>
      </w:r>
      <w:r w:rsidRPr="00D11FA2">
        <w:rPr>
          <w:rFonts w:ascii="Times New Roman" w:hAnsi="Times New Roman" w:cs="Times New Roman"/>
          <w:sz w:val="24"/>
          <w:szCs w:val="24"/>
        </w:rPr>
        <w:t>ISTC</w:t>
      </w:r>
      <w:r w:rsidR="00155782">
        <w:rPr>
          <w:rFonts w:ascii="Times New Roman" w:hAnsi="Times New Roman" w:cs="Times New Roman"/>
          <w:sz w:val="24"/>
          <w:szCs w:val="24"/>
        </w:rPr>
        <w:t>-</w:t>
      </w:r>
      <w:r w:rsidRPr="00D11FA2">
        <w:rPr>
          <w:rFonts w:ascii="Times New Roman" w:hAnsi="Times New Roman" w:cs="Times New Roman"/>
          <w:sz w:val="24"/>
          <w:szCs w:val="24"/>
        </w:rPr>
        <w:t xml:space="preserve">financed projects in the chemical field </w:t>
      </w:r>
      <w:r w:rsidR="00155782">
        <w:rPr>
          <w:rFonts w:ascii="Times New Roman" w:hAnsi="Times New Roman" w:cs="Times New Roman"/>
          <w:sz w:val="24"/>
          <w:szCs w:val="24"/>
        </w:rPr>
        <w:t xml:space="preserve">carried out </w:t>
      </w:r>
      <w:r w:rsidRPr="00D11FA2">
        <w:rPr>
          <w:rFonts w:ascii="Times New Roman" w:hAnsi="Times New Roman" w:cs="Times New Roman"/>
          <w:sz w:val="24"/>
          <w:szCs w:val="24"/>
        </w:rPr>
        <w:t>at the State Scientific Research Institute of Organic Chemistry and Technology (</w:t>
      </w:r>
      <w:proofErr w:type="spellStart"/>
      <w:r w:rsidRPr="00D11FA2">
        <w:rPr>
          <w:rFonts w:ascii="Times New Roman" w:hAnsi="Times New Roman" w:cs="Times New Roman"/>
          <w:sz w:val="24"/>
          <w:szCs w:val="24"/>
        </w:rPr>
        <w:t>GosNIIKhT</w:t>
      </w:r>
      <w:proofErr w:type="spellEnd"/>
      <w:r w:rsidRPr="00D11FA2">
        <w:rPr>
          <w:rFonts w:ascii="Times New Roman" w:hAnsi="Times New Roman" w:cs="Times New Roman"/>
          <w:sz w:val="24"/>
          <w:szCs w:val="24"/>
        </w:rPr>
        <w:t>)</w:t>
      </w:r>
      <w:r w:rsidR="00155782">
        <w:rPr>
          <w:rFonts w:ascii="Times New Roman" w:hAnsi="Times New Roman" w:cs="Times New Roman"/>
          <w:sz w:val="24"/>
          <w:szCs w:val="24"/>
        </w:rPr>
        <w:t>, the i</w:t>
      </w:r>
      <w:r w:rsidRPr="00D11FA2">
        <w:rPr>
          <w:rFonts w:ascii="Times New Roman" w:hAnsi="Times New Roman" w:cs="Times New Roman"/>
          <w:sz w:val="24"/>
          <w:szCs w:val="24"/>
        </w:rPr>
        <w:t xml:space="preserve">nstitute </w:t>
      </w:r>
      <w:r w:rsidR="00155782">
        <w:rPr>
          <w:rFonts w:ascii="Times New Roman" w:hAnsi="Times New Roman" w:cs="Times New Roman"/>
          <w:sz w:val="24"/>
          <w:szCs w:val="24"/>
        </w:rPr>
        <w:t xml:space="preserve">where the highly toxic </w:t>
      </w:r>
      <w:proofErr w:type="spellStart"/>
      <w:r w:rsidR="00155782">
        <w:rPr>
          <w:rFonts w:ascii="Times New Roman" w:hAnsi="Times New Roman" w:cs="Times New Roman"/>
          <w:sz w:val="24"/>
          <w:szCs w:val="24"/>
        </w:rPr>
        <w:t>Novichok</w:t>
      </w:r>
      <w:proofErr w:type="spellEnd"/>
      <w:r w:rsidR="00155782">
        <w:rPr>
          <w:rFonts w:ascii="Times New Roman" w:hAnsi="Times New Roman" w:cs="Times New Roman"/>
          <w:sz w:val="24"/>
          <w:szCs w:val="24"/>
        </w:rPr>
        <w:t xml:space="preserve"> agents were </w:t>
      </w:r>
      <w:r w:rsidRPr="00D11FA2">
        <w:rPr>
          <w:rFonts w:ascii="Times New Roman" w:hAnsi="Times New Roman" w:cs="Times New Roman"/>
          <w:sz w:val="24"/>
          <w:szCs w:val="24"/>
        </w:rPr>
        <w:t>developed during the seventies and eighties.</w:t>
      </w:r>
      <w:r w:rsidRPr="00D11FA2">
        <w:rPr>
          <w:rStyle w:val="FootnoteReference"/>
          <w:rFonts w:ascii="Times New Roman" w:hAnsi="Times New Roman" w:cs="Times New Roman"/>
        </w:rPr>
        <w:footnoteReference w:id="20"/>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In all </w:t>
      </w:r>
      <w:r w:rsidR="00155782">
        <w:rPr>
          <w:rFonts w:ascii="Times New Roman" w:hAnsi="Times New Roman" w:cs="Times New Roman"/>
          <w:sz w:val="24"/>
          <w:szCs w:val="24"/>
        </w:rPr>
        <w:t>of these</w:t>
      </w:r>
      <w:r w:rsidR="00155782"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examples, the Science </w:t>
      </w:r>
      <w:r w:rsidR="00EC1D7E" w:rsidRPr="00D11FA2">
        <w:rPr>
          <w:rFonts w:ascii="Times New Roman" w:hAnsi="Times New Roman" w:cs="Times New Roman"/>
          <w:sz w:val="24"/>
          <w:szCs w:val="24"/>
        </w:rPr>
        <w:t>Centre</w:t>
      </w:r>
      <w:r w:rsidRPr="00D11FA2">
        <w:rPr>
          <w:rFonts w:ascii="Times New Roman" w:hAnsi="Times New Roman" w:cs="Times New Roman"/>
          <w:sz w:val="24"/>
          <w:szCs w:val="24"/>
        </w:rPr>
        <w:t xml:space="preserve"> model led to an improvement in safety standards and procedures. Over the years, scientists developed technologies for monitoring, containment, and surveillance of nuclear activities, as well as verification and detection methods in support of the implementation of non-proliferation policies. Numerous training activities took place to improve disease surveillance and to promote a biosafety and biosecurity culture in the laboratory. New technologies were developed, for example in support of reducing emissions harming environmental conditions. Numerous physical safety upgrades were implemented to avoid unauthorised access to sensitive installations as well as to prevent insider smuggling of hazardous materials to the outside world.</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Between 1994 and 2017, the ISTC supported a total of 4,186 projects with a value of 962</w:t>
      </w:r>
      <w:r w:rsidR="00155782">
        <w:rPr>
          <w:rFonts w:ascii="Times New Roman" w:hAnsi="Times New Roman" w:cs="Times New Roman"/>
          <w:sz w:val="24"/>
          <w:szCs w:val="24"/>
        </w:rPr>
        <w:t> </w:t>
      </w:r>
      <w:r w:rsidRPr="00D11FA2">
        <w:rPr>
          <w:rFonts w:ascii="Times New Roman" w:hAnsi="Times New Roman" w:cs="Times New Roman"/>
          <w:sz w:val="24"/>
          <w:szCs w:val="24"/>
        </w:rPr>
        <w:t>million Euro</w:t>
      </w:r>
      <w:r w:rsidR="00155782">
        <w:rPr>
          <w:rFonts w:ascii="Times New Roman" w:hAnsi="Times New Roman" w:cs="Times New Roman"/>
          <w:sz w:val="24"/>
          <w:szCs w:val="24"/>
        </w:rPr>
        <w:t>,</w:t>
      </w:r>
      <w:r w:rsidRPr="00D11FA2">
        <w:rPr>
          <w:rFonts w:ascii="Times New Roman" w:hAnsi="Times New Roman" w:cs="Times New Roman"/>
          <w:sz w:val="24"/>
          <w:szCs w:val="24"/>
        </w:rPr>
        <w:t xml:space="preserve"> of which the total contribution by the </w:t>
      </w:r>
      <w:r w:rsidR="00155782">
        <w:rPr>
          <w:rFonts w:ascii="Times New Roman" w:hAnsi="Times New Roman" w:cs="Times New Roman"/>
          <w:sz w:val="24"/>
          <w:szCs w:val="24"/>
        </w:rPr>
        <w:t xml:space="preserve">EU and the U.S., the </w:t>
      </w:r>
      <w:r w:rsidRPr="00D11FA2">
        <w:rPr>
          <w:rFonts w:ascii="Times New Roman" w:hAnsi="Times New Roman" w:cs="Times New Roman"/>
          <w:sz w:val="24"/>
          <w:szCs w:val="24"/>
        </w:rPr>
        <w:t>main funding parties</w:t>
      </w:r>
      <w:r w:rsidR="00155782">
        <w:rPr>
          <w:rFonts w:ascii="Times New Roman" w:hAnsi="Times New Roman" w:cs="Times New Roman"/>
          <w:sz w:val="24"/>
          <w:szCs w:val="24"/>
        </w:rPr>
        <w:t>, was</w:t>
      </w:r>
      <w:r w:rsidRPr="00D11FA2">
        <w:rPr>
          <w:rFonts w:ascii="Times New Roman" w:hAnsi="Times New Roman" w:cs="Times New Roman"/>
          <w:sz w:val="24"/>
          <w:szCs w:val="24"/>
        </w:rPr>
        <w:t xml:space="preserve"> respectively 305 million Euro and 451 million USD. Similar figures for </w:t>
      </w:r>
      <w:r w:rsidR="00155782">
        <w:rPr>
          <w:rFonts w:ascii="Times New Roman" w:hAnsi="Times New Roman" w:cs="Times New Roman"/>
          <w:sz w:val="24"/>
          <w:szCs w:val="24"/>
        </w:rPr>
        <w:t xml:space="preserve">the </w:t>
      </w:r>
      <w:r w:rsidRPr="00D11FA2">
        <w:rPr>
          <w:rFonts w:ascii="Times New Roman" w:hAnsi="Times New Roman" w:cs="Times New Roman"/>
          <w:sz w:val="24"/>
          <w:szCs w:val="24"/>
        </w:rPr>
        <w:t xml:space="preserve">STCU show that almost 2000 projects were supported with a total investment of 89 million Euro by the EU and 176 million USD by the </w:t>
      </w:r>
      <w:r w:rsidR="00155782">
        <w:rPr>
          <w:rFonts w:ascii="Times New Roman" w:hAnsi="Times New Roman" w:cs="Times New Roman"/>
          <w:sz w:val="24"/>
          <w:szCs w:val="24"/>
        </w:rPr>
        <w:t>U.S</w:t>
      </w:r>
      <w:r w:rsidRPr="00D11FA2">
        <w:rPr>
          <w:rFonts w:ascii="Times New Roman" w:hAnsi="Times New Roman" w:cs="Times New Roman"/>
          <w:sz w:val="24"/>
          <w:szCs w:val="24"/>
        </w:rPr>
        <w:t xml:space="preserve">. Overall, more than 100,000 scientists and engineers joined the activities of </w:t>
      </w:r>
      <w:r w:rsidR="00155782">
        <w:rPr>
          <w:rFonts w:ascii="Times New Roman" w:hAnsi="Times New Roman" w:cs="Times New Roman"/>
          <w:sz w:val="24"/>
          <w:szCs w:val="24"/>
        </w:rPr>
        <w:t>the two</w:t>
      </w:r>
      <w:r w:rsidR="00155782" w:rsidRPr="00D11FA2">
        <w:rPr>
          <w:rFonts w:ascii="Times New Roman" w:hAnsi="Times New Roman" w:cs="Times New Roman"/>
          <w:sz w:val="24"/>
          <w:szCs w:val="24"/>
        </w:rPr>
        <w:t xml:space="preserve"> </w:t>
      </w:r>
      <w:r w:rsidRPr="00D11FA2">
        <w:rPr>
          <w:rFonts w:ascii="Times New Roman" w:hAnsi="Times New Roman" w:cs="Times New Roman"/>
          <w:sz w:val="24"/>
          <w:szCs w:val="24"/>
        </w:rPr>
        <w:t>Centres.</w:t>
      </w:r>
    </w:p>
    <w:p w:rsidR="005F7F0D" w:rsidRPr="00D11FA2" w:rsidRDefault="00155782" w:rsidP="005F7F0D">
      <w:pPr>
        <w:rPr>
          <w:rFonts w:ascii="Times New Roman" w:hAnsi="Times New Roman" w:cs="Times New Roman"/>
          <w:sz w:val="24"/>
          <w:szCs w:val="24"/>
        </w:rPr>
      </w:pPr>
      <w:r>
        <w:rPr>
          <w:rFonts w:ascii="Times New Roman" w:hAnsi="Times New Roman" w:cs="Times New Roman"/>
          <w:sz w:val="24"/>
          <w:szCs w:val="24"/>
        </w:rPr>
        <w:t>Over</w:t>
      </w:r>
      <w:r w:rsidR="005F7F0D" w:rsidRPr="00073A51">
        <w:rPr>
          <w:rFonts w:ascii="Times New Roman" w:hAnsi="Times New Roman" w:cs="Times New Roman"/>
          <w:sz w:val="24"/>
          <w:szCs w:val="24"/>
        </w:rPr>
        <w:t xml:space="preserve"> the years, t</w:t>
      </w:r>
      <w:r w:rsidR="005F7F0D" w:rsidRPr="00D11FA2">
        <w:rPr>
          <w:rFonts w:ascii="Times New Roman" w:hAnsi="Times New Roman" w:cs="Times New Roman"/>
          <w:sz w:val="24"/>
          <w:szCs w:val="24"/>
        </w:rPr>
        <w:t xml:space="preserve">he Science Centres </w:t>
      </w:r>
      <w:r>
        <w:rPr>
          <w:rFonts w:ascii="Times New Roman" w:hAnsi="Times New Roman" w:cs="Times New Roman"/>
          <w:sz w:val="24"/>
          <w:szCs w:val="24"/>
        </w:rPr>
        <w:t xml:space="preserve">have </w:t>
      </w:r>
      <w:r w:rsidR="005F7F0D" w:rsidRPr="00D11FA2">
        <w:rPr>
          <w:rFonts w:ascii="Times New Roman" w:hAnsi="Times New Roman" w:cs="Times New Roman"/>
          <w:sz w:val="24"/>
          <w:szCs w:val="24"/>
        </w:rPr>
        <w:t xml:space="preserve">adapted their work </w:t>
      </w:r>
      <w:r w:rsidR="005F7F0D" w:rsidRPr="00073A51">
        <w:rPr>
          <w:rFonts w:ascii="Times New Roman" w:hAnsi="Times New Roman" w:cs="Times New Roman"/>
          <w:sz w:val="24"/>
          <w:szCs w:val="24"/>
        </w:rPr>
        <w:t xml:space="preserve">to take </w:t>
      </w:r>
      <w:r w:rsidR="005F7F0D" w:rsidRPr="00D11FA2">
        <w:rPr>
          <w:rFonts w:ascii="Times New Roman" w:hAnsi="Times New Roman" w:cs="Times New Roman"/>
          <w:sz w:val="24"/>
          <w:szCs w:val="24"/>
        </w:rPr>
        <w:t>into account the changing proliferation landscape,</w:t>
      </w:r>
      <w:r>
        <w:rPr>
          <w:rFonts w:ascii="Times New Roman" w:hAnsi="Times New Roman" w:cs="Times New Roman"/>
          <w:sz w:val="24"/>
          <w:szCs w:val="24"/>
        </w:rPr>
        <w:t xml:space="preserve"> </w:t>
      </w:r>
      <w:r w:rsidR="005F7F0D" w:rsidRPr="00D11FA2">
        <w:rPr>
          <w:rFonts w:ascii="Times New Roman" w:hAnsi="Times New Roman" w:cs="Times New Roman"/>
          <w:sz w:val="24"/>
          <w:szCs w:val="24"/>
        </w:rPr>
        <w:t xml:space="preserve">threat analyses and the evolving needs of the parties. </w:t>
      </w:r>
      <w:r>
        <w:rPr>
          <w:rFonts w:ascii="Times New Roman" w:hAnsi="Times New Roman" w:cs="Times New Roman"/>
          <w:sz w:val="24"/>
          <w:szCs w:val="24"/>
        </w:rPr>
        <w:t>A</w:t>
      </w:r>
      <w:r w:rsidR="005F7F0D" w:rsidRPr="00D11FA2">
        <w:rPr>
          <w:rFonts w:ascii="Times New Roman" w:hAnsi="Times New Roman" w:cs="Times New Roman"/>
          <w:sz w:val="24"/>
          <w:szCs w:val="24"/>
        </w:rPr>
        <w:t xml:space="preserve">fter 9/11 and </w:t>
      </w:r>
      <w:r w:rsidR="005F7F0D" w:rsidRPr="00D11FA2">
        <w:rPr>
          <w:rFonts w:ascii="Times New Roman" w:hAnsi="Times New Roman" w:cs="Times New Roman"/>
          <w:sz w:val="24"/>
          <w:szCs w:val="24"/>
        </w:rPr>
        <w:lastRenderedPageBreak/>
        <w:t xml:space="preserve">the adoption of UNSCR 1540 (2004), the Centres started to rebalance their activities </w:t>
      </w:r>
      <w:r w:rsidR="005F7F0D" w:rsidRPr="00073A51">
        <w:rPr>
          <w:rFonts w:ascii="Times New Roman" w:hAnsi="Times New Roman" w:cs="Times New Roman"/>
          <w:sz w:val="24"/>
          <w:szCs w:val="24"/>
        </w:rPr>
        <w:t>towards</w:t>
      </w:r>
      <w:r w:rsidR="005F7F0D" w:rsidRPr="00D11FA2">
        <w:rPr>
          <w:rFonts w:ascii="Times New Roman" w:hAnsi="Times New Roman" w:cs="Times New Roman"/>
          <w:sz w:val="24"/>
          <w:szCs w:val="24"/>
        </w:rPr>
        <w:t xml:space="preserve"> global proliferation concerns. For example, more counter-terrorism initiatives were funded</w:t>
      </w:r>
      <w:r w:rsidR="003B1D8B">
        <w:rPr>
          <w:rFonts w:ascii="Times New Roman" w:hAnsi="Times New Roman" w:cs="Times New Roman"/>
          <w:sz w:val="24"/>
          <w:szCs w:val="24"/>
        </w:rPr>
        <w:t xml:space="preserve"> </w:t>
      </w:r>
      <w:r w:rsidR="005F7F0D" w:rsidRPr="00073A51">
        <w:rPr>
          <w:rFonts w:ascii="Times New Roman" w:hAnsi="Times New Roman" w:cs="Times New Roman"/>
          <w:sz w:val="24"/>
          <w:szCs w:val="24"/>
        </w:rPr>
        <w:t>and more gra</w:t>
      </w:r>
      <w:r w:rsidR="005F7F0D" w:rsidRPr="00D11FA2">
        <w:rPr>
          <w:rFonts w:ascii="Times New Roman" w:hAnsi="Times New Roman" w:cs="Times New Roman"/>
          <w:sz w:val="24"/>
          <w:szCs w:val="24"/>
        </w:rPr>
        <w:t>nts were related to dual-use concerns in the chemical and biological field.</w:t>
      </w:r>
      <w:r w:rsidR="005F7F0D" w:rsidRPr="00D11FA2">
        <w:rPr>
          <w:rStyle w:val="FootnoteReference"/>
          <w:rFonts w:ascii="Times New Roman" w:hAnsi="Times New Roman" w:cs="Times New Roman"/>
        </w:rPr>
        <w:footnoteReference w:id="21"/>
      </w:r>
      <w:r w:rsidR="005F7F0D" w:rsidRPr="00D11FA2">
        <w:rPr>
          <w:rFonts w:ascii="Times New Roman" w:hAnsi="Times New Roman" w:cs="Times New Roman"/>
          <w:sz w:val="24"/>
          <w:szCs w:val="24"/>
        </w:rPr>
        <w:t xml:space="preserve"> Equally</w:t>
      </w:r>
      <w:r>
        <w:rPr>
          <w:rFonts w:ascii="Times New Roman" w:hAnsi="Times New Roman" w:cs="Times New Roman"/>
          <w:sz w:val="24"/>
          <w:szCs w:val="24"/>
        </w:rPr>
        <w:t>,</w:t>
      </w:r>
      <w:r w:rsidR="005F7F0D" w:rsidRPr="00D11FA2">
        <w:rPr>
          <w:rFonts w:ascii="Times New Roman" w:hAnsi="Times New Roman" w:cs="Times New Roman"/>
          <w:sz w:val="24"/>
          <w:szCs w:val="24"/>
        </w:rPr>
        <w:t xml:space="preserve"> more partner projects were funded </w:t>
      </w:r>
      <w:r>
        <w:rPr>
          <w:rFonts w:ascii="Times New Roman" w:hAnsi="Times New Roman" w:cs="Times New Roman"/>
          <w:sz w:val="24"/>
          <w:szCs w:val="24"/>
        </w:rPr>
        <w:t>(e.g.,</w:t>
      </w:r>
      <w:r w:rsidR="005F7F0D" w:rsidRPr="00D11FA2">
        <w:rPr>
          <w:rFonts w:ascii="Times New Roman" w:hAnsi="Times New Roman" w:cs="Times New Roman"/>
          <w:sz w:val="24"/>
          <w:szCs w:val="24"/>
        </w:rPr>
        <w:t xml:space="preserve"> funding in support of private companies in</w:t>
      </w:r>
      <w:r w:rsidR="003B1D8B">
        <w:rPr>
          <w:rFonts w:ascii="Times New Roman" w:hAnsi="Times New Roman" w:cs="Times New Roman"/>
          <w:sz w:val="24"/>
          <w:szCs w:val="24"/>
        </w:rPr>
        <w:t xml:space="preserve"> </w:t>
      </w:r>
      <w:r w:rsidR="005F7F0D" w:rsidRPr="00D11FA2">
        <w:rPr>
          <w:rFonts w:ascii="Times New Roman" w:hAnsi="Times New Roman" w:cs="Times New Roman"/>
          <w:sz w:val="24"/>
          <w:szCs w:val="24"/>
        </w:rPr>
        <w:t>order to promote the commercialisation of research findings</w:t>
      </w:r>
      <w:r>
        <w:rPr>
          <w:rFonts w:ascii="Times New Roman" w:hAnsi="Times New Roman" w:cs="Times New Roman"/>
          <w:sz w:val="24"/>
          <w:szCs w:val="24"/>
        </w:rPr>
        <w:t>)</w:t>
      </w:r>
      <w:r w:rsidR="005F7F0D" w:rsidRPr="00D11FA2">
        <w:rPr>
          <w:rFonts w:ascii="Times New Roman" w:hAnsi="Times New Roman" w:cs="Times New Roman"/>
          <w:sz w:val="24"/>
          <w:szCs w:val="24"/>
        </w:rPr>
        <w:t>.</w:t>
      </w:r>
    </w:p>
    <w:p w:rsidR="005F7F0D" w:rsidRPr="00073A51" w:rsidRDefault="005F7F0D" w:rsidP="005F7F0D">
      <w:pPr>
        <w:pStyle w:val="Heading2"/>
      </w:pPr>
      <w:bookmarkStart w:id="7" w:name="_Toc511640361"/>
      <w:r w:rsidRPr="00073A51">
        <w:t>Learning from past experience</w:t>
      </w:r>
      <w:bookmarkEnd w:id="7"/>
      <w:r w:rsidRPr="00073A51">
        <w:t xml:space="preserve">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The developments </w:t>
      </w:r>
      <w:r w:rsidR="00E70EAA">
        <w:rPr>
          <w:rFonts w:ascii="Times New Roman" w:hAnsi="Times New Roman" w:cs="Times New Roman"/>
          <w:sz w:val="24"/>
          <w:szCs w:val="24"/>
        </w:rPr>
        <w:t>undergone by the</w:t>
      </w:r>
      <w:r w:rsidR="00E70EAA" w:rsidRPr="00D11FA2">
        <w:rPr>
          <w:rFonts w:ascii="Times New Roman" w:hAnsi="Times New Roman" w:cs="Times New Roman"/>
          <w:sz w:val="24"/>
          <w:szCs w:val="24"/>
        </w:rPr>
        <w:t xml:space="preserve"> </w:t>
      </w:r>
      <w:r w:rsidRPr="00D11FA2">
        <w:rPr>
          <w:rFonts w:ascii="Times New Roman" w:hAnsi="Times New Roman" w:cs="Times New Roman"/>
          <w:sz w:val="24"/>
          <w:szCs w:val="24"/>
        </w:rPr>
        <w:t>two Science Cent</w:t>
      </w:r>
      <w:r>
        <w:rPr>
          <w:rFonts w:ascii="Times New Roman" w:hAnsi="Times New Roman" w:cs="Times New Roman"/>
          <w:sz w:val="24"/>
          <w:szCs w:val="24"/>
        </w:rPr>
        <w:t>re</w:t>
      </w:r>
      <w:r w:rsidRPr="00D11FA2">
        <w:rPr>
          <w:rFonts w:ascii="Times New Roman" w:hAnsi="Times New Roman" w:cs="Times New Roman"/>
          <w:sz w:val="24"/>
          <w:szCs w:val="24"/>
        </w:rPr>
        <w:t xml:space="preserve">s over time provide valuable insights in three ways: </w:t>
      </w:r>
      <w:r w:rsidR="00E70EAA">
        <w:rPr>
          <w:rFonts w:ascii="Times New Roman" w:hAnsi="Times New Roman" w:cs="Times New Roman"/>
          <w:sz w:val="24"/>
          <w:szCs w:val="24"/>
        </w:rPr>
        <w:t>f</w:t>
      </w:r>
      <w:r w:rsidRPr="00D11FA2">
        <w:rPr>
          <w:rFonts w:ascii="Times New Roman" w:hAnsi="Times New Roman" w:cs="Times New Roman"/>
          <w:sz w:val="24"/>
          <w:szCs w:val="24"/>
        </w:rPr>
        <w:t xml:space="preserve">irst, they were subject to a continuous evaluation process which can be used to track their successes in integrating former </w:t>
      </w:r>
      <w:r w:rsidR="00E70EAA">
        <w:rPr>
          <w:rFonts w:ascii="Times New Roman" w:hAnsi="Times New Roman" w:cs="Times New Roman"/>
          <w:sz w:val="24"/>
          <w:szCs w:val="24"/>
        </w:rPr>
        <w:t>S</w:t>
      </w:r>
      <w:r w:rsidRPr="00D11FA2">
        <w:rPr>
          <w:rFonts w:ascii="Times New Roman" w:hAnsi="Times New Roman" w:cs="Times New Roman"/>
          <w:sz w:val="24"/>
          <w:szCs w:val="24"/>
        </w:rPr>
        <w:t>oviet researchers into the international scientific communities and promoting peaceful research applications</w:t>
      </w:r>
      <w:r w:rsidR="00E70EAA">
        <w:rPr>
          <w:rFonts w:ascii="Times New Roman" w:hAnsi="Times New Roman" w:cs="Times New Roman"/>
          <w:sz w:val="24"/>
          <w:szCs w:val="24"/>
        </w:rPr>
        <w:t>;</w:t>
      </w:r>
      <w:r w:rsidRPr="00D11FA2">
        <w:rPr>
          <w:rFonts w:ascii="Times New Roman" w:hAnsi="Times New Roman" w:cs="Times New Roman"/>
          <w:sz w:val="24"/>
          <w:szCs w:val="24"/>
        </w:rPr>
        <w:t xml:space="preserve"> </w:t>
      </w:r>
      <w:r w:rsidR="00E70EAA">
        <w:rPr>
          <w:rFonts w:ascii="Times New Roman" w:hAnsi="Times New Roman" w:cs="Times New Roman"/>
          <w:sz w:val="24"/>
          <w:szCs w:val="24"/>
        </w:rPr>
        <w:t>s</w:t>
      </w:r>
      <w:r w:rsidRPr="00D11FA2">
        <w:rPr>
          <w:rFonts w:ascii="Times New Roman" w:hAnsi="Times New Roman" w:cs="Times New Roman"/>
          <w:sz w:val="24"/>
          <w:szCs w:val="24"/>
        </w:rPr>
        <w:t xml:space="preserve">econd, the responses of the </w:t>
      </w:r>
      <w:r w:rsidR="00E70EAA">
        <w:rPr>
          <w:rFonts w:ascii="Times New Roman" w:hAnsi="Times New Roman" w:cs="Times New Roman"/>
          <w:sz w:val="24"/>
          <w:szCs w:val="24"/>
        </w:rPr>
        <w:t>Centres</w:t>
      </w:r>
      <w:r w:rsidR="00E70EAA" w:rsidRPr="00D11FA2">
        <w:rPr>
          <w:rFonts w:ascii="Times New Roman" w:hAnsi="Times New Roman" w:cs="Times New Roman"/>
          <w:sz w:val="24"/>
          <w:szCs w:val="24"/>
        </w:rPr>
        <w:t xml:space="preserve"> </w:t>
      </w:r>
      <w:r w:rsidRPr="00D11FA2">
        <w:rPr>
          <w:rFonts w:ascii="Times New Roman" w:hAnsi="Times New Roman" w:cs="Times New Roman"/>
          <w:sz w:val="24"/>
          <w:szCs w:val="24"/>
        </w:rPr>
        <w:t>to backlashes</w:t>
      </w:r>
      <w:r w:rsidR="00E70EAA">
        <w:rPr>
          <w:rFonts w:ascii="Times New Roman" w:hAnsi="Times New Roman" w:cs="Times New Roman"/>
          <w:sz w:val="24"/>
          <w:szCs w:val="24"/>
        </w:rPr>
        <w:t>,</w:t>
      </w:r>
      <w:r w:rsidRPr="00D11FA2">
        <w:rPr>
          <w:rFonts w:ascii="Times New Roman" w:hAnsi="Times New Roman" w:cs="Times New Roman"/>
          <w:sz w:val="24"/>
          <w:szCs w:val="24"/>
        </w:rPr>
        <w:t xml:space="preserve"> such as the withdrawal of Russia, Canada and Belarus in the years following 2010</w:t>
      </w:r>
      <w:r w:rsidR="00E70EAA">
        <w:rPr>
          <w:rFonts w:ascii="Times New Roman" w:hAnsi="Times New Roman" w:cs="Times New Roman"/>
          <w:sz w:val="24"/>
          <w:szCs w:val="24"/>
        </w:rPr>
        <w:t>,</w:t>
      </w:r>
      <w:r w:rsidRPr="00D11FA2">
        <w:rPr>
          <w:rFonts w:ascii="Times New Roman" w:hAnsi="Times New Roman" w:cs="Times New Roman"/>
          <w:sz w:val="24"/>
          <w:szCs w:val="24"/>
        </w:rPr>
        <w:t xml:space="preserve"> provide insights into the flexibility of the model</w:t>
      </w:r>
      <w:r w:rsidR="00E70EAA">
        <w:rPr>
          <w:rFonts w:ascii="Times New Roman" w:hAnsi="Times New Roman" w:cs="Times New Roman"/>
          <w:sz w:val="24"/>
          <w:szCs w:val="24"/>
        </w:rPr>
        <w:t xml:space="preserve">; and </w:t>
      </w:r>
      <w:r w:rsidRPr="00D11FA2">
        <w:rPr>
          <w:rFonts w:ascii="Times New Roman" w:hAnsi="Times New Roman" w:cs="Times New Roman"/>
          <w:sz w:val="24"/>
          <w:szCs w:val="24"/>
        </w:rPr>
        <w:t xml:space="preserve">third, the current </w:t>
      </w:r>
      <w:r w:rsidR="00E70EAA">
        <w:rPr>
          <w:rFonts w:ascii="Times New Roman" w:hAnsi="Times New Roman" w:cs="Times New Roman"/>
          <w:sz w:val="24"/>
          <w:szCs w:val="24"/>
        </w:rPr>
        <w:t>international</w:t>
      </w:r>
      <w:r w:rsidRPr="00D11FA2">
        <w:rPr>
          <w:rFonts w:ascii="Times New Roman" w:hAnsi="Times New Roman" w:cs="Times New Roman"/>
          <w:sz w:val="24"/>
          <w:szCs w:val="24"/>
        </w:rPr>
        <w:t xml:space="preserve"> activities undertaken by ISTC show the global applicability of the model and </w:t>
      </w:r>
      <w:r w:rsidR="00E70EAA">
        <w:rPr>
          <w:rFonts w:ascii="Times New Roman" w:hAnsi="Times New Roman" w:cs="Times New Roman"/>
          <w:sz w:val="24"/>
          <w:szCs w:val="24"/>
        </w:rPr>
        <w:t>how they such activities can</w:t>
      </w:r>
      <w:r w:rsidR="00E70EAA" w:rsidRPr="00D11FA2">
        <w:rPr>
          <w:rFonts w:ascii="Times New Roman" w:hAnsi="Times New Roman" w:cs="Times New Roman"/>
          <w:sz w:val="24"/>
          <w:szCs w:val="24"/>
        </w:rPr>
        <w:t xml:space="preserve"> </w:t>
      </w:r>
      <w:r w:rsidRPr="00D11FA2">
        <w:rPr>
          <w:rFonts w:ascii="Times New Roman" w:hAnsi="Times New Roman" w:cs="Times New Roman"/>
          <w:sz w:val="24"/>
          <w:szCs w:val="24"/>
        </w:rPr>
        <w:t>serve as an anchor for strengthening the Science Cent</w:t>
      </w:r>
      <w:r>
        <w:rPr>
          <w:rFonts w:ascii="Times New Roman" w:hAnsi="Times New Roman" w:cs="Times New Roman"/>
          <w:sz w:val="24"/>
          <w:szCs w:val="24"/>
        </w:rPr>
        <w:t>re</w:t>
      </w:r>
      <w:r w:rsidRPr="00D11FA2">
        <w:rPr>
          <w:rFonts w:ascii="Times New Roman" w:hAnsi="Times New Roman" w:cs="Times New Roman"/>
          <w:sz w:val="24"/>
          <w:szCs w:val="24"/>
        </w:rPr>
        <w:t xml:space="preserve"> model in the future.</w:t>
      </w:r>
    </w:p>
    <w:p w:rsidR="005F7F0D" w:rsidRPr="00073A51" w:rsidRDefault="005F7F0D" w:rsidP="005F7F0D">
      <w:pPr>
        <w:rPr>
          <w:rFonts w:ascii="Times New Roman" w:hAnsi="Times New Roman" w:cs="Times New Roman"/>
          <w:sz w:val="24"/>
          <w:szCs w:val="24"/>
        </w:rPr>
      </w:pPr>
      <w:r>
        <w:rPr>
          <w:rFonts w:ascii="Times New Roman" w:hAnsi="Times New Roman" w:cs="Times New Roman"/>
          <w:sz w:val="24"/>
          <w:szCs w:val="24"/>
        </w:rPr>
        <w:t xml:space="preserve">Over the years, </w:t>
      </w:r>
      <w:r w:rsidR="004D3250">
        <w:rPr>
          <w:rFonts w:ascii="Times New Roman" w:hAnsi="Times New Roman" w:cs="Times New Roman"/>
          <w:sz w:val="24"/>
          <w:szCs w:val="24"/>
        </w:rPr>
        <w:t>a number of</w:t>
      </w:r>
      <w:r w:rsidR="004D3250"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evaluations and audits </w:t>
      </w:r>
      <w:r w:rsidR="004D3250">
        <w:rPr>
          <w:rFonts w:ascii="Times New Roman" w:hAnsi="Times New Roman" w:cs="Times New Roman"/>
          <w:sz w:val="24"/>
          <w:szCs w:val="24"/>
        </w:rPr>
        <w:t>of</w:t>
      </w:r>
      <w:r w:rsidR="004D3250"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the functioning of the Centres were </w:t>
      </w:r>
      <w:r w:rsidR="004D3250">
        <w:rPr>
          <w:rFonts w:ascii="Times New Roman" w:hAnsi="Times New Roman" w:cs="Times New Roman"/>
          <w:sz w:val="24"/>
          <w:szCs w:val="24"/>
        </w:rPr>
        <w:t xml:space="preserve">conducted which </w:t>
      </w:r>
      <w:r w:rsidRPr="00D11FA2">
        <w:rPr>
          <w:rFonts w:ascii="Times New Roman" w:hAnsi="Times New Roman" w:cs="Times New Roman"/>
          <w:sz w:val="24"/>
          <w:szCs w:val="24"/>
        </w:rPr>
        <w:t xml:space="preserve">have identified the following </w:t>
      </w:r>
      <w:r w:rsidRPr="00073A51">
        <w:rPr>
          <w:rFonts w:ascii="Times New Roman" w:hAnsi="Times New Roman" w:cs="Times New Roman"/>
          <w:sz w:val="24"/>
          <w:szCs w:val="24"/>
        </w:rPr>
        <w:t>impact</w:t>
      </w:r>
      <w:r w:rsidR="004D3250">
        <w:rPr>
          <w:rFonts w:ascii="Times New Roman" w:hAnsi="Times New Roman" w:cs="Times New Roman"/>
          <w:sz w:val="24"/>
          <w:szCs w:val="24"/>
        </w:rPr>
        <w:t>s</w:t>
      </w:r>
      <w:r w:rsidRPr="00073A51">
        <w:rPr>
          <w:rFonts w:ascii="Times New Roman" w:hAnsi="Times New Roman" w:cs="Times New Roman"/>
          <w:sz w:val="24"/>
          <w:szCs w:val="24"/>
        </w:rPr>
        <w:t xml:space="preserve"> of the funded activities:</w:t>
      </w:r>
    </w:p>
    <w:p w:rsidR="005F7F0D" w:rsidRPr="00D11FA2" w:rsidRDefault="005F7F0D" w:rsidP="005F7F0D">
      <w:pPr>
        <w:pStyle w:val="ListParagraph"/>
        <w:numPr>
          <w:ilvl w:val="0"/>
          <w:numId w:val="4"/>
        </w:numPr>
        <w:rPr>
          <w:rFonts w:ascii="Times New Roman" w:hAnsi="Times New Roman" w:cs="Times New Roman"/>
          <w:sz w:val="24"/>
          <w:szCs w:val="24"/>
        </w:rPr>
      </w:pPr>
      <w:r w:rsidRPr="00D11FA2">
        <w:rPr>
          <w:rFonts w:ascii="Times New Roman" w:hAnsi="Times New Roman" w:cs="Times New Roman"/>
          <w:sz w:val="24"/>
          <w:szCs w:val="24"/>
        </w:rPr>
        <w:t>A reduction of proliferation threats by providing new careers to scientists and engineers as well as through safety upgrades of scientific and other installations;</w:t>
      </w:r>
    </w:p>
    <w:p w:rsidR="005F7F0D" w:rsidRPr="00D11FA2" w:rsidRDefault="005F7F0D" w:rsidP="005F7F0D">
      <w:pPr>
        <w:pStyle w:val="ListParagraph"/>
        <w:numPr>
          <w:ilvl w:val="0"/>
          <w:numId w:val="4"/>
        </w:numPr>
        <w:rPr>
          <w:rFonts w:ascii="Times New Roman" w:hAnsi="Times New Roman" w:cs="Times New Roman"/>
          <w:sz w:val="24"/>
          <w:szCs w:val="24"/>
        </w:rPr>
      </w:pPr>
      <w:r w:rsidRPr="00D11FA2">
        <w:rPr>
          <w:rFonts w:ascii="Times New Roman" w:hAnsi="Times New Roman" w:cs="Times New Roman"/>
          <w:sz w:val="24"/>
          <w:szCs w:val="24"/>
        </w:rPr>
        <w:t xml:space="preserve">The creation of a civilian research community in the countries of the former Soviet Union </w:t>
      </w:r>
      <w:r w:rsidR="004D3250">
        <w:rPr>
          <w:rFonts w:ascii="Times New Roman" w:hAnsi="Times New Roman" w:cs="Times New Roman"/>
          <w:sz w:val="24"/>
          <w:szCs w:val="24"/>
        </w:rPr>
        <w:t>and</w:t>
      </w:r>
      <w:r w:rsidR="004D3250"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modernisation of </w:t>
      </w:r>
      <w:r w:rsidR="004D3250">
        <w:rPr>
          <w:rFonts w:ascii="Times New Roman" w:hAnsi="Times New Roman" w:cs="Times New Roman"/>
          <w:sz w:val="24"/>
          <w:szCs w:val="24"/>
        </w:rPr>
        <w:t xml:space="preserve">the </w:t>
      </w:r>
      <w:r w:rsidRPr="00D11FA2">
        <w:rPr>
          <w:rFonts w:ascii="Times New Roman" w:hAnsi="Times New Roman" w:cs="Times New Roman"/>
          <w:sz w:val="24"/>
          <w:szCs w:val="24"/>
        </w:rPr>
        <w:t>research infrastructure;</w:t>
      </w:r>
    </w:p>
    <w:p w:rsidR="005F7F0D" w:rsidRPr="00D11FA2" w:rsidRDefault="005F7F0D" w:rsidP="005F7F0D">
      <w:pPr>
        <w:pStyle w:val="ListParagraph"/>
        <w:numPr>
          <w:ilvl w:val="0"/>
          <w:numId w:val="4"/>
        </w:numPr>
        <w:rPr>
          <w:rFonts w:ascii="Times New Roman" w:hAnsi="Times New Roman" w:cs="Times New Roman"/>
          <w:sz w:val="24"/>
          <w:szCs w:val="24"/>
        </w:rPr>
      </w:pPr>
      <w:r w:rsidRPr="00D11FA2">
        <w:rPr>
          <w:rFonts w:ascii="Times New Roman" w:hAnsi="Times New Roman" w:cs="Times New Roman"/>
          <w:sz w:val="24"/>
          <w:szCs w:val="24"/>
        </w:rPr>
        <w:t>The integration of scientists of the former Soviet Union in networks of the international scientific community;</w:t>
      </w:r>
    </w:p>
    <w:p w:rsidR="005F7F0D" w:rsidRPr="00D11FA2" w:rsidRDefault="005F7F0D" w:rsidP="005F7F0D">
      <w:pPr>
        <w:pStyle w:val="ListParagraph"/>
        <w:numPr>
          <w:ilvl w:val="0"/>
          <w:numId w:val="4"/>
        </w:numPr>
        <w:rPr>
          <w:rFonts w:ascii="Times New Roman" w:hAnsi="Times New Roman" w:cs="Times New Roman"/>
          <w:sz w:val="24"/>
          <w:szCs w:val="24"/>
        </w:rPr>
      </w:pPr>
      <w:r w:rsidRPr="00D11FA2">
        <w:rPr>
          <w:rFonts w:ascii="Times New Roman" w:hAnsi="Times New Roman" w:cs="Times New Roman"/>
          <w:sz w:val="24"/>
          <w:szCs w:val="24"/>
        </w:rPr>
        <w:t xml:space="preserve">The building of trust among scientists and engineers that previously had </w:t>
      </w:r>
      <w:r w:rsidR="004D3250">
        <w:rPr>
          <w:rFonts w:ascii="Times New Roman" w:hAnsi="Times New Roman" w:cs="Times New Roman"/>
          <w:sz w:val="24"/>
          <w:szCs w:val="24"/>
        </w:rPr>
        <w:t>limited</w:t>
      </w:r>
      <w:r w:rsidR="004D3250" w:rsidRPr="00D11FA2">
        <w:rPr>
          <w:rFonts w:ascii="Times New Roman" w:hAnsi="Times New Roman" w:cs="Times New Roman"/>
          <w:sz w:val="24"/>
          <w:szCs w:val="24"/>
        </w:rPr>
        <w:t xml:space="preserve"> </w:t>
      </w:r>
      <w:r w:rsidRPr="00D11FA2">
        <w:rPr>
          <w:rFonts w:ascii="Times New Roman" w:hAnsi="Times New Roman" w:cs="Times New Roman"/>
          <w:sz w:val="24"/>
          <w:szCs w:val="24"/>
        </w:rPr>
        <w:t>mutual contacts;</w:t>
      </w:r>
      <w:r w:rsidR="00FE378D">
        <w:rPr>
          <w:rFonts w:ascii="Times New Roman" w:hAnsi="Times New Roman" w:cs="Times New Roman"/>
          <w:sz w:val="24"/>
          <w:szCs w:val="24"/>
        </w:rPr>
        <w:t xml:space="preserve"> and</w:t>
      </w:r>
    </w:p>
    <w:p w:rsidR="005F7F0D" w:rsidRPr="00D11FA2" w:rsidRDefault="005F7F0D" w:rsidP="005F7F0D">
      <w:pPr>
        <w:pStyle w:val="ListParagraph"/>
        <w:numPr>
          <w:ilvl w:val="0"/>
          <w:numId w:val="4"/>
        </w:numPr>
        <w:rPr>
          <w:rFonts w:ascii="Times New Roman" w:hAnsi="Times New Roman" w:cs="Times New Roman"/>
          <w:sz w:val="24"/>
          <w:szCs w:val="24"/>
        </w:rPr>
      </w:pPr>
      <w:r w:rsidRPr="00D11FA2">
        <w:rPr>
          <w:rFonts w:ascii="Times New Roman" w:hAnsi="Times New Roman" w:cs="Times New Roman"/>
          <w:sz w:val="24"/>
          <w:szCs w:val="24"/>
        </w:rPr>
        <w:t xml:space="preserve">A contribution to the diversification of economic activities in some of the countries concerned through support </w:t>
      </w:r>
      <w:r w:rsidR="00FE378D">
        <w:rPr>
          <w:rFonts w:ascii="Times New Roman" w:hAnsi="Times New Roman" w:cs="Times New Roman"/>
          <w:sz w:val="24"/>
          <w:szCs w:val="24"/>
        </w:rPr>
        <w:t>for</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development, innovation and commercialization of new technologies.</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The various evaluations of the work of the Science Centres - apart from some anecdotal evidence - were not able to quantify how many scientists and engineers were </w:t>
      </w:r>
      <w:r w:rsidR="00FE378D">
        <w:rPr>
          <w:rFonts w:ascii="Times New Roman" w:hAnsi="Times New Roman" w:cs="Times New Roman"/>
          <w:sz w:val="24"/>
          <w:szCs w:val="24"/>
        </w:rPr>
        <w:t>dissuaded</w:t>
      </w:r>
      <w:r w:rsidR="00FE378D" w:rsidRPr="00D11FA2">
        <w:rPr>
          <w:rFonts w:ascii="Times New Roman" w:hAnsi="Times New Roman" w:cs="Times New Roman"/>
          <w:sz w:val="24"/>
          <w:szCs w:val="24"/>
        </w:rPr>
        <w:t xml:space="preserve"> </w:t>
      </w:r>
      <w:r w:rsidR="00FE378D">
        <w:rPr>
          <w:rFonts w:ascii="Times New Roman" w:hAnsi="Times New Roman" w:cs="Times New Roman"/>
          <w:sz w:val="24"/>
          <w:szCs w:val="24"/>
        </w:rPr>
        <w:t>from</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join</w:t>
      </w:r>
      <w:r w:rsidR="00FE378D">
        <w:rPr>
          <w:rFonts w:ascii="Times New Roman" w:hAnsi="Times New Roman" w:cs="Times New Roman"/>
          <w:sz w:val="24"/>
          <w:szCs w:val="24"/>
        </w:rPr>
        <w:t>ing</w:t>
      </w:r>
      <w:r w:rsidRPr="00D11FA2">
        <w:rPr>
          <w:rFonts w:ascii="Times New Roman" w:hAnsi="Times New Roman" w:cs="Times New Roman"/>
          <w:sz w:val="24"/>
          <w:szCs w:val="24"/>
        </w:rPr>
        <w:t xml:space="preserve"> rogue WMD programmes. However, the results</w:t>
      </w:r>
      <w:r w:rsidRPr="00073A51">
        <w:rPr>
          <w:rFonts w:ascii="Times New Roman" w:hAnsi="Times New Roman" w:cs="Times New Roman"/>
          <w:sz w:val="24"/>
          <w:szCs w:val="24"/>
        </w:rPr>
        <w:t xml:space="preserve"> of the evaluations provided the </w:t>
      </w:r>
      <w:r w:rsidR="00FE378D">
        <w:rPr>
          <w:rFonts w:ascii="Times New Roman" w:hAnsi="Times New Roman" w:cs="Times New Roman"/>
          <w:sz w:val="24"/>
          <w:szCs w:val="24"/>
        </w:rPr>
        <w:t xml:space="preserve">basis for the </w:t>
      </w:r>
      <w:r w:rsidRPr="00073A51">
        <w:rPr>
          <w:rFonts w:ascii="Times New Roman" w:hAnsi="Times New Roman" w:cs="Times New Roman"/>
          <w:sz w:val="24"/>
          <w:szCs w:val="24"/>
        </w:rPr>
        <w:t>necessary discussions</w:t>
      </w:r>
      <w:r w:rsidRPr="00D11FA2">
        <w:rPr>
          <w:rFonts w:ascii="Times New Roman" w:hAnsi="Times New Roman" w:cs="Times New Roman"/>
          <w:sz w:val="24"/>
          <w:szCs w:val="24"/>
        </w:rPr>
        <w:t xml:space="preserve"> </w:t>
      </w:r>
      <w:r w:rsidRPr="00073A51">
        <w:rPr>
          <w:rFonts w:ascii="Times New Roman" w:hAnsi="Times New Roman" w:cs="Times New Roman"/>
          <w:sz w:val="24"/>
          <w:szCs w:val="24"/>
        </w:rPr>
        <w:t xml:space="preserve">on the </w:t>
      </w:r>
      <w:r w:rsidRPr="00D11FA2">
        <w:rPr>
          <w:rFonts w:ascii="Times New Roman" w:hAnsi="Times New Roman" w:cs="Times New Roman"/>
          <w:sz w:val="24"/>
          <w:szCs w:val="24"/>
        </w:rPr>
        <w:t xml:space="preserve">future of both Centres. </w:t>
      </w:r>
      <w:r w:rsidR="00FE378D">
        <w:rPr>
          <w:rFonts w:ascii="Times New Roman" w:hAnsi="Times New Roman" w:cs="Times New Roman"/>
          <w:sz w:val="24"/>
          <w:szCs w:val="24"/>
        </w:rPr>
        <w:t>The p</w:t>
      </w:r>
      <w:r w:rsidRPr="00D11FA2">
        <w:rPr>
          <w:rFonts w:ascii="Times New Roman" w:hAnsi="Times New Roman" w:cs="Times New Roman"/>
          <w:sz w:val="24"/>
          <w:szCs w:val="24"/>
        </w:rPr>
        <w:t xml:space="preserve">arties realized the need to expand the activities of the Centres </w:t>
      </w:r>
      <w:r w:rsidR="00FE378D">
        <w:rPr>
          <w:rFonts w:ascii="Times New Roman" w:hAnsi="Times New Roman" w:cs="Times New Roman"/>
          <w:sz w:val="24"/>
          <w:szCs w:val="24"/>
        </w:rPr>
        <w:t>beyond</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the former Soviet Union in order to respond to emerging threats from other regions and from non-state actors.</w:t>
      </w:r>
    </w:p>
    <w:p w:rsidR="00FE378D"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These exchanges</w:t>
      </w:r>
      <w:r>
        <w:rPr>
          <w:rFonts w:ascii="Times New Roman" w:hAnsi="Times New Roman" w:cs="Times New Roman"/>
          <w:sz w:val="24"/>
          <w:szCs w:val="24"/>
        </w:rPr>
        <w:t xml:space="preserve"> on expansion</w:t>
      </w:r>
      <w:r w:rsidRPr="00D11FA2">
        <w:rPr>
          <w:rFonts w:ascii="Times New Roman" w:hAnsi="Times New Roman" w:cs="Times New Roman"/>
          <w:sz w:val="24"/>
          <w:szCs w:val="24"/>
        </w:rPr>
        <w:t xml:space="preserve"> </w:t>
      </w:r>
      <w:r w:rsidRPr="00073A51">
        <w:rPr>
          <w:rFonts w:ascii="Times New Roman" w:hAnsi="Times New Roman" w:cs="Times New Roman"/>
          <w:sz w:val="24"/>
          <w:szCs w:val="24"/>
        </w:rPr>
        <w:t xml:space="preserve">were </w:t>
      </w:r>
      <w:r w:rsidRPr="00D11FA2">
        <w:rPr>
          <w:rFonts w:ascii="Times New Roman" w:hAnsi="Times New Roman" w:cs="Times New Roman"/>
          <w:sz w:val="24"/>
          <w:szCs w:val="24"/>
        </w:rPr>
        <w:t xml:space="preserve">intensified after the withdrawal of the Russian Federation from </w:t>
      </w:r>
      <w:r w:rsidR="00FE378D">
        <w:rPr>
          <w:rFonts w:ascii="Times New Roman" w:hAnsi="Times New Roman" w:cs="Times New Roman"/>
          <w:sz w:val="24"/>
          <w:szCs w:val="24"/>
        </w:rPr>
        <w:t xml:space="preserve">the </w:t>
      </w:r>
      <w:r w:rsidRPr="00D11FA2">
        <w:rPr>
          <w:rFonts w:ascii="Times New Roman" w:hAnsi="Times New Roman" w:cs="Times New Roman"/>
          <w:sz w:val="24"/>
          <w:szCs w:val="24"/>
        </w:rPr>
        <w:t xml:space="preserve">ISTC </w:t>
      </w:r>
      <w:r w:rsidRPr="00073A51">
        <w:rPr>
          <w:rFonts w:ascii="Times New Roman" w:hAnsi="Times New Roman" w:cs="Times New Roman"/>
          <w:sz w:val="24"/>
          <w:szCs w:val="24"/>
        </w:rPr>
        <w:t xml:space="preserve">announced </w:t>
      </w:r>
      <w:r w:rsidRPr="00D11FA2">
        <w:rPr>
          <w:rFonts w:ascii="Times New Roman" w:hAnsi="Times New Roman" w:cs="Times New Roman"/>
          <w:sz w:val="24"/>
          <w:szCs w:val="24"/>
        </w:rPr>
        <w:t>by President Medvedev in 2010</w:t>
      </w:r>
      <w:r w:rsidR="00FE378D">
        <w:rPr>
          <w:rFonts w:ascii="Times New Roman" w:hAnsi="Times New Roman" w:cs="Times New Roman"/>
          <w:sz w:val="24"/>
          <w:szCs w:val="24"/>
        </w:rPr>
        <w:t xml:space="preserve"> and</w:t>
      </w:r>
      <w:r w:rsidRPr="00D11FA2">
        <w:rPr>
          <w:rFonts w:ascii="Times New Roman" w:hAnsi="Times New Roman" w:cs="Times New Roman"/>
          <w:sz w:val="24"/>
          <w:szCs w:val="24"/>
        </w:rPr>
        <w:t xml:space="preserve"> the departure</w:t>
      </w:r>
      <w:r w:rsidR="00FE378D">
        <w:rPr>
          <w:rFonts w:ascii="Times New Roman" w:hAnsi="Times New Roman" w:cs="Times New Roman"/>
          <w:sz w:val="24"/>
          <w:szCs w:val="24"/>
        </w:rPr>
        <w:t>s</w:t>
      </w:r>
      <w:r w:rsidRPr="00D11FA2">
        <w:rPr>
          <w:rFonts w:ascii="Times New Roman" w:hAnsi="Times New Roman" w:cs="Times New Roman"/>
          <w:sz w:val="24"/>
          <w:szCs w:val="24"/>
        </w:rPr>
        <w:t xml:space="preserve"> of Canada in 2013 and Belarus in 2015.</w:t>
      </w:r>
      <w:r w:rsidRPr="00073A51">
        <w:rPr>
          <w:rFonts w:ascii="Times New Roman" w:hAnsi="Times New Roman" w:cs="Times New Roman"/>
          <w:sz w:val="24"/>
          <w:szCs w:val="24"/>
        </w:rPr>
        <w:t xml:space="preserve"> </w:t>
      </w:r>
      <w:r w:rsidR="00FE378D">
        <w:rPr>
          <w:rFonts w:ascii="Times New Roman" w:hAnsi="Times New Roman" w:cs="Times New Roman"/>
          <w:sz w:val="24"/>
          <w:szCs w:val="24"/>
        </w:rPr>
        <w:t>M</w:t>
      </w:r>
      <w:r w:rsidRPr="00073A51">
        <w:rPr>
          <w:rFonts w:ascii="Times New Roman" w:hAnsi="Times New Roman" w:cs="Times New Roman"/>
          <w:sz w:val="24"/>
          <w:szCs w:val="24"/>
        </w:rPr>
        <w:t>eetings were held during which the remaining parties</w:t>
      </w:r>
      <w:r w:rsidRPr="00D11FA2">
        <w:rPr>
          <w:rFonts w:ascii="Times New Roman" w:hAnsi="Times New Roman" w:cs="Times New Roman"/>
          <w:sz w:val="24"/>
          <w:szCs w:val="24"/>
        </w:rPr>
        <w:t xml:space="preserve"> </w:t>
      </w:r>
      <w:r w:rsidR="00FE378D">
        <w:rPr>
          <w:rFonts w:ascii="Times New Roman" w:hAnsi="Times New Roman" w:cs="Times New Roman"/>
          <w:sz w:val="24"/>
          <w:szCs w:val="24"/>
        </w:rPr>
        <w:t>exchanged views</w:t>
      </w:r>
      <w:r w:rsidR="00FE378D" w:rsidRPr="00073A51">
        <w:rPr>
          <w:rFonts w:ascii="Times New Roman" w:hAnsi="Times New Roman" w:cs="Times New Roman"/>
          <w:sz w:val="24"/>
          <w:szCs w:val="24"/>
        </w:rPr>
        <w:t xml:space="preserve"> </w:t>
      </w:r>
      <w:r w:rsidRPr="00073A51">
        <w:rPr>
          <w:rFonts w:ascii="Times New Roman" w:hAnsi="Times New Roman" w:cs="Times New Roman"/>
          <w:sz w:val="24"/>
          <w:szCs w:val="24"/>
        </w:rPr>
        <w:t xml:space="preserve">on </w:t>
      </w:r>
      <w:r w:rsidRPr="00D11FA2">
        <w:rPr>
          <w:rFonts w:ascii="Times New Roman" w:hAnsi="Times New Roman" w:cs="Times New Roman"/>
          <w:sz w:val="24"/>
          <w:szCs w:val="24"/>
        </w:rPr>
        <w:t>their experience</w:t>
      </w:r>
      <w:r w:rsidR="00FE378D">
        <w:rPr>
          <w:rFonts w:ascii="Times New Roman" w:hAnsi="Times New Roman" w:cs="Times New Roman"/>
          <w:sz w:val="24"/>
          <w:szCs w:val="24"/>
        </w:rPr>
        <w:t>s</w:t>
      </w:r>
      <w:r w:rsidRPr="00073A51">
        <w:rPr>
          <w:rFonts w:ascii="Times New Roman" w:hAnsi="Times New Roman" w:cs="Times New Roman"/>
          <w:sz w:val="24"/>
          <w:szCs w:val="24"/>
        </w:rPr>
        <w:t xml:space="preserve"> </w:t>
      </w:r>
      <w:r w:rsidRPr="00D11FA2">
        <w:rPr>
          <w:rFonts w:ascii="Times New Roman" w:hAnsi="Times New Roman" w:cs="Times New Roman"/>
          <w:sz w:val="24"/>
          <w:szCs w:val="24"/>
        </w:rPr>
        <w:t>with the two multilateral scientist engagement programmes. The main conclusions</w:t>
      </w:r>
      <w:r w:rsidRPr="00073A51">
        <w:rPr>
          <w:rFonts w:ascii="Times New Roman" w:hAnsi="Times New Roman" w:cs="Times New Roman"/>
          <w:sz w:val="24"/>
          <w:szCs w:val="24"/>
        </w:rPr>
        <w:t xml:space="preserve"> were th</w:t>
      </w:r>
      <w:r w:rsidRPr="00D11FA2">
        <w:rPr>
          <w:rFonts w:ascii="Times New Roman" w:hAnsi="Times New Roman" w:cs="Times New Roman"/>
          <w:sz w:val="24"/>
          <w:szCs w:val="24"/>
        </w:rPr>
        <w:t>at the functioning and setup of the Centres</w:t>
      </w:r>
      <w:r>
        <w:rPr>
          <w:rFonts w:ascii="Times New Roman" w:hAnsi="Times New Roman" w:cs="Times New Roman"/>
          <w:sz w:val="24"/>
          <w:szCs w:val="24"/>
        </w:rPr>
        <w:t xml:space="preserve"> was </w:t>
      </w:r>
      <w:r w:rsidR="00FE378D">
        <w:rPr>
          <w:rFonts w:ascii="Times New Roman" w:hAnsi="Times New Roman" w:cs="Times New Roman"/>
          <w:sz w:val="24"/>
          <w:szCs w:val="24"/>
        </w:rPr>
        <w:t>inadequate for achieving</w:t>
      </w:r>
      <w:r>
        <w:rPr>
          <w:rFonts w:ascii="Times New Roman" w:hAnsi="Times New Roman" w:cs="Times New Roman"/>
          <w:sz w:val="24"/>
          <w:szCs w:val="24"/>
        </w:rPr>
        <w:t xml:space="preserve"> the goals of all parties involved, but that a re-organisation could lead to more efficient procedures. Furthermore, in order to </w:t>
      </w:r>
      <w:r w:rsidR="00FE378D">
        <w:rPr>
          <w:rFonts w:ascii="Times New Roman" w:hAnsi="Times New Roman" w:cs="Times New Roman"/>
          <w:sz w:val="24"/>
          <w:szCs w:val="24"/>
        </w:rPr>
        <w:t xml:space="preserve">address </w:t>
      </w:r>
      <w:r>
        <w:rPr>
          <w:rFonts w:ascii="Times New Roman" w:hAnsi="Times New Roman" w:cs="Times New Roman"/>
          <w:sz w:val="24"/>
          <w:szCs w:val="24"/>
        </w:rPr>
        <w:t xml:space="preserve">the </w:t>
      </w:r>
      <w:r w:rsidR="00FE378D">
        <w:rPr>
          <w:rFonts w:ascii="Times New Roman" w:hAnsi="Times New Roman" w:cs="Times New Roman"/>
          <w:sz w:val="24"/>
          <w:szCs w:val="24"/>
        </w:rPr>
        <w:t xml:space="preserve">changing </w:t>
      </w:r>
      <w:r>
        <w:rPr>
          <w:rFonts w:ascii="Times New Roman" w:hAnsi="Times New Roman" w:cs="Times New Roman"/>
          <w:sz w:val="24"/>
          <w:szCs w:val="24"/>
        </w:rPr>
        <w:t xml:space="preserve">threat and </w:t>
      </w:r>
      <w:r>
        <w:rPr>
          <w:rFonts w:ascii="Times New Roman" w:hAnsi="Times New Roman" w:cs="Times New Roman"/>
          <w:sz w:val="24"/>
          <w:szCs w:val="24"/>
        </w:rPr>
        <w:lastRenderedPageBreak/>
        <w:t>risks landscapes, the activities of the Centres would have to be expanded</w:t>
      </w:r>
      <w:r w:rsidR="00FE378D">
        <w:rPr>
          <w:rFonts w:ascii="Times New Roman" w:hAnsi="Times New Roman" w:cs="Times New Roman"/>
          <w:sz w:val="24"/>
          <w:szCs w:val="24"/>
        </w:rPr>
        <w:t>,</w:t>
      </w:r>
      <w:r>
        <w:rPr>
          <w:rFonts w:ascii="Times New Roman" w:hAnsi="Times New Roman" w:cs="Times New Roman"/>
          <w:sz w:val="24"/>
          <w:szCs w:val="24"/>
        </w:rPr>
        <w:t xml:space="preserve"> especially in terms of geographical range. </w:t>
      </w:r>
    </w:p>
    <w:p w:rsidR="005F7F0D" w:rsidRPr="00D11FA2" w:rsidRDefault="005F7F0D" w:rsidP="005F7F0D">
      <w:pPr>
        <w:rPr>
          <w:rFonts w:ascii="Times New Roman" w:hAnsi="Times New Roman" w:cs="Times New Roman"/>
          <w:sz w:val="24"/>
          <w:szCs w:val="24"/>
        </w:rPr>
      </w:pPr>
      <w:r>
        <w:rPr>
          <w:rFonts w:ascii="Times New Roman" w:hAnsi="Times New Roman" w:cs="Times New Roman"/>
          <w:sz w:val="24"/>
          <w:szCs w:val="24"/>
        </w:rPr>
        <w:t xml:space="preserve">Specifically, four assessments </w:t>
      </w:r>
      <w:r w:rsidR="00FE378D">
        <w:rPr>
          <w:rFonts w:ascii="Times New Roman" w:hAnsi="Times New Roman" w:cs="Times New Roman"/>
          <w:sz w:val="24"/>
          <w:szCs w:val="24"/>
        </w:rPr>
        <w:t xml:space="preserve">of </w:t>
      </w:r>
      <w:r>
        <w:rPr>
          <w:rFonts w:ascii="Times New Roman" w:hAnsi="Times New Roman" w:cs="Times New Roman"/>
          <w:sz w:val="24"/>
          <w:szCs w:val="24"/>
        </w:rPr>
        <w:t xml:space="preserve">how to shape a road forward were </w:t>
      </w:r>
      <w:r w:rsidR="00FE378D">
        <w:rPr>
          <w:rFonts w:ascii="Times New Roman" w:hAnsi="Times New Roman" w:cs="Times New Roman"/>
          <w:sz w:val="24"/>
          <w:szCs w:val="24"/>
        </w:rPr>
        <w:t>identified</w:t>
      </w:r>
      <w:r>
        <w:rPr>
          <w:rFonts w:ascii="Times New Roman" w:hAnsi="Times New Roman" w:cs="Times New Roman"/>
          <w:sz w:val="24"/>
          <w:szCs w:val="24"/>
        </w:rPr>
        <w:t xml:space="preserve">: </w:t>
      </w:r>
    </w:p>
    <w:p w:rsidR="005F7F0D" w:rsidRPr="00D11FA2" w:rsidRDefault="005F7F0D" w:rsidP="005F7F0D">
      <w:pPr>
        <w:rPr>
          <w:rFonts w:ascii="Times New Roman" w:hAnsi="Times New Roman" w:cs="Times New Roman"/>
          <w:sz w:val="24"/>
          <w:szCs w:val="24"/>
        </w:rPr>
      </w:pPr>
      <w:r>
        <w:rPr>
          <w:rFonts w:ascii="Times New Roman" w:hAnsi="Times New Roman" w:cs="Times New Roman"/>
          <w:sz w:val="24"/>
          <w:szCs w:val="24"/>
        </w:rPr>
        <w:t>First, t</w:t>
      </w:r>
      <w:r w:rsidRPr="00D11FA2">
        <w:rPr>
          <w:rFonts w:ascii="Times New Roman" w:hAnsi="Times New Roman" w:cs="Times New Roman"/>
          <w:sz w:val="24"/>
          <w:szCs w:val="24"/>
        </w:rPr>
        <w:t xml:space="preserve">he legal bases </w:t>
      </w:r>
      <w:r w:rsidR="00FE378D">
        <w:rPr>
          <w:rFonts w:ascii="Times New Roman" w:hAnsi="Times New Roman" w:cs="Times New Roman"/>
          <w:sz w:val="24"/>
          <w:szCs w:val="24"/>
        </w:rPr>
        <w:t>(</w:t>
      </w:r>
      <w:r w:rsidRPr="00D11FA2">
        <w:rPr>
          <w:rFonts w:ascii="Times New Roman" w:hAnsi="Times New Roman" w:cs="Times New Roman"/>
          <w:sz w:val="24"/>
          <w:szCs w:val="24"/>
        </w:rPr>
        <w:t xml:space="preserve">i.e. the international agreements </w:t>
      </w:r>
      <w:r w:rsidR="00FE378D">
        <w:rPr>
          <w:rFonts w:ascii="Times New Roman" w:hAnsi="Times New Roman" w:cs="Times New Roman"/>
          <w:sz w:val="24"/>
          <w:szCs w:val="24"/>
        </w:rPr>
        <w:t>establishing</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the Centres</w:t>
      </w:r>
      <w:r w:rsidR="00FE378D">
        <w:rPr>
          <w:rFonts w:ascii="Times New Roman" w:hAnsi="Times New Roman" w:cs="Times New Roman"/>
          <w:sz w:val="24"/>
          <w:szCs w:val="24"/>
        </w:rPr>
        <w:t>)</w:t>
      </w:r>
      <w:r w:rsidRPr="00D11FA2">
        <w:rPr>
          <w:rFonts w:ascii="Times New Roman" w:hAnsi="Times New Roman" w:cs="Times New Roman"/>
          <w:sz w:val="24"/>
          <w:szCs w:val="24"/>
        </w:rPr>
        <w:t xml:space="preserve"> provide</w:t>
      </w:r>
      <w:r w:rsidR="00FE378D">
        <w:rPr>
          <w:rFonts w:ascii="Times New Roman" w:hAnsi="Times New Roman" w:cs="Times New Roman"/>
          <w:sz w:val="24"/>
          <w:szCs w:val="24"/>
        </w:rPr>
        <w:t>d</w:t>
      </w:r>
      <w:r w:rsidRPr="00D11FA2">
        <w:rPr>
          <w:rFonts w:ascii="Times New Roman" w:hAnsi="Times New Roman" w:cs="Times New Roman"/>
          <w:sz w:val="24"/>
          <w:szCs w:val="24"/>
        </w:rPr>
        <w:t xml:space="preserve"> a maximum of legal certainty to allow </w:t>
      </w:r>
      <w:r w:rsidR="00FE378D">
        <w:rPr>
          <w:rFonts w:ascii="Times New Roman" w:hAnsi="Times New Roman" w:cs="Times New Roman"/>
          <w:sz w:val="24"/>
          <w:szCs w:val="24"/>
        </w:rPr>
        <w:t>for</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effective preparation and implementation of the tasks. However, the governance structure of ISTC </w:t>
      </w:r>
      <w:r w:rsidR="00FE378D" w:rsidRPr="00D11FA2">
        <w:rPr>
          <w:rFonts w:ascii="Times New Roman" w:hAnsi="Times New Roman" w:cs="Times New Roman"/>
          <w:sz w:val="24"/>
          <w:szCs w:val="24"/>
        </w:rPr>
        <w:t>need</w:t>
      </w:r>
      <w:r w:rsidR="00FE378D">
        <w:rPr>
          <w:rFonts w:ascii="Times New Roman" w:hAnsi="Times New Roman" w:cs="Times New Roman"/>
          <w:sz w:val="24"/>
          <w:szCs w:val="24"/>
        </w:rPr>
        <w:t xml:space="preserve">ed </w:t>
      </w:r>
      <w:r w:rsidRPr="00D11FA2">
        <w:rPr>
          <w:rFonts w:ascii="Times New Roman" w:hAnsi="Times New Roman" w:cs="Times New Roman"/>
          <w:sz w:val="24"/>
          <w:szCs w:val="24"/>
        </w:rPr>
        <w:t>to be reviewed</w:t>
      </w:r>
      <w:r w:rsidR="00FE378D">
        <w:rPr>
          <w:rFonts w:ascii="Times New Roman" w:hAnsi="Times New Roman" w:cs="Times New Roman"/>
          <w:sz w:val="24"/>
          <w:szCs w:val="24"/>
        </w:rPr>
        <w:t>,</w:t>
      </w:r>
      <w:r w:rsidRPr="00D11FA2">
        <w:rPr>
          <w:rFonts w:ascii="Times New Roman" w:hAnsi="Times New Roman" w:cs="Times New Roman"/>
          <w:sz w:val="24"/>
          <w:szCs w:val="24"/>
        </w:rPr>
        <w:t xml:space="preserve"> as well as the </w:t>
      </w:r>
      <w:r w:rsidR="00FE378D">
        <w:rPr>
          <w:rFonts w:ascii="Times New Roman" w:hAnsi="Times New Roman" w:cs="Times New Roman"/>
          <w:sz w:val="24"/>
          <w:szCs w:val="24"/>
        </w:rPr>
        <w:t xml:space="preserve">out-dated </w:t>
      </w:r>
      <w:r w:rsidRPr="00D11FA2">
        <w:rPr>
          <w:rFonts w:ascii="Times New Roman" w:hAnsi="Times New Roman" w:cs="Times New Roman"/>
          <w:sz w:val="24"/>
          <w:szCs w:val="24"/>
        </w:rPr>
        <w:t xml:space="preserve">provisions on intellectual property protection. </w:t>
      </w:r>
      <w:r w:rsidR="00FE378D">
        <w:rPr>
          <w:rFonts w:ascii="Times New Roman" w:hAnsi="Times New Roman" w:cs="Times New Roman"/>
          <w:sz w:val="24"/>
          <w:szCs w:val="24"/>
        </w:rPr>
        <w:t>And while t</w:t>
      </w:r>
      <w:r w:rsidRPr="00D11FA2">
        <w:rPr>
          <w:rFonts w:ascii="Times New Roman" w:hAnsi="Times New Roman" w:cs="Times New Roman"/>
          <w:sz w:val="24"/>
          <w:szCs w:val="24"/>
        </w:rPr>
        <w:t xml:space="preserve">he secretariats </w:t>
      </w:r>
      <w:r w:rsidR="00FE378D">
        <w:rPr>
          <w:rFonts w:ascii="Times New Roman" w:hAnsi="Times New Roman" w:cs="Times New Roman"/>
          <w:sz w:val="24"/>
          <w:szCs w:val="24"/>
        </w:rPr>
        <w:t>were</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effectively managed</w:t>
      </w:r>
      <w:r w:rsidR="00FE378D">
        <w:rPr>
          <w:rFonts w:ascii="Times New Roman" w:hAnsi="Times New Roman" w:cs="Times New Roman"/>
          <w:sz w:val="24"/>
          <w:szCs w:val="24"/>
        </w:rPr>
        <w:t>,</w:t>
      </w:r>
      <w:r w:rsidRPr="00D11FA2">
        <w:rPr>
          <w:rFonts w:ascii="Times New Roman" w:hAnsi="Times New Roman" w:cs="Times New Roman"/>
          <w:sz w:val="24"/>
          <w:szCs w:val="24"/>
        </w:rPr>
        <w:t xml:space="preserve"> greater cost savings could be made </w:t>
      </w:r>
      <w:r w:rsidR="00FE378D">
        <w:rPr>
          <w:rFonts w:ascii="Times New Roman" w:hAnsi="Times New Roman" w:cs="Times New Roman"/>
          <w:sz w:val="24"/>
          <w:szCs w:val="24"/>
        </w:rPr>
        <w:t>through</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greater synergies in the activities of both secretariats</w:t>
      </w:r>
      <w:r>
        <w:rPr>
          <w:rFonts w:ascii="Times New Roman" w:hAnsi="Times New Roman" w:cs="Times New Roman"/>
          <w:sz w:val="24"/>
          <w:szCs w:val="24"/>
        </w:rPr>
        <w:t>. Second, t</w:t>
      </w:r>
      <w:r w:rsidRPr="00D11FA2">
        <w:rPr>
          <w:rFonts w:ascii="Times New Roman" w:hAnsi="Times New Roman" w:cs="Times New Roman"/>
          <w:sz w:val="24"/>
          <w:szCs w:val="24"/>
        </w:rPr>
        <w:t xml:space="preserve">he results of the funded programmes and projects </w:t>
      </w:r>
      <w:r w:rsidR="00FE378D">
        <w:rPr>
          <w:rFonts w:ascii="Times New Roman" w:hAnsi="Times New Roman" w:cs="Times New Roman"/>
          <w:sz w:val="24"/>
          <w:szCs w:val="24"/>
        </w:rPr>
        <w:t>were</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satisfactory and serve</w:t>
      </w:r>
      <w:r w:rsidR="00FE378D">
        <w:rPr>
          <w:rFonts w:ascii="Times New Roman" w:hAnsi="Times New Roman" w:cs="Times New Roman"/>
          <w:sz w:val="24"/>
          <w:szCs w:val="24"/>
        </w:rPr>
        <w:t>d</w:t>
      </w:r>
      <w:r w:rsidRPr="00D11FA2">
        <w:rPr>
          <w:rFonts w:ascii="Times New Roman" w:hAnsi="Times New Roman" w:cs="Times New Roman"/>
          <w:sz w:val="24"/>
          <w:szCs w:val="24"/>
        </w:rPr>
        <w:t xml:space="preserve"> the objectives of each of the partners. Funding triggered important follow-up research activities on a wider - more resource intensive - scale. However, the regional component </w:t>
      </w:r>
      <w:r w:rsidR="00FE378D">
        <w:rPr>
          <w:rFonts w:ascii="Times New Roman" w:hAnsi="Times New Roman" w:cs="Times New Roman"/>
          <w:sz w:val="24"/>
          <w:szCs w:val="24"/>
        </w:rPr>
        <w:t>of</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the work need</w:t>
      </w:r>
      <w:r w:rsidR="00FE378D">
        <w:rPr>
          <w:rFonts w:ascii="Times New Roman" w:hAnsi="Times New Roman" w:cs="Times New Roman"/>
          <w:sz w:val="24"/>
          <w:szCs w:val="24"/>
        </w:rPr>
        <w:t>ed</w:t>
      </w:r>
      <w:r w:rsidRPr="00D11FA2">
        <w:rPr>
          <w:rFonts w:ascii="Times New Roman" w:hAnsi="Times New Roman" w:cs="Times New Roman"/>
          <w:sz w:val="24"/>
          <w:szCs w:val="24"/>
        </w:rPr>
        <w:t xml:space="preserve"> strengthening and the transfer of research results from the laboratories to the marketplace </w:t>
      </w:r>
      <w:r w:rsidR="00FE378D" w:rsidRPr="00D11FA2">
        <w:rPr>
          <w:rFonts w:ascii="Times New Roman" w:hAnsi="Times New Roman" w:cs="Times New Roman"/>
          <w:sz w:val="24"/>
          <w:szCs w:val="24"/>
        </w:rPr>
        <w:t>require</w:t>
      </w:r>
      <w:r w:rsidR="00FE378D">
        <w:rPr>
          <w:rFonts w:ascii="Times New Roman" w:hAnsi="Times New Roman" w:cs="Times New Roman"/>
          <w:sz w:val="24"/>
          <w:szCs w:val="24"/>
        </w:rPr>
        <w:t>d</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further attention despite success stories in the medical, nuclear and oil and gas sectors.</w:t>
      </w:r>
      <w:r>
        <w:rPr>
          <w:rFonts w:ascii="Times New Roman" w:hAnsi="Times New Roman" w:cs="Times New Roman"/>
          <w:sz w:val="24"/>
          <w:szCs w:val="24"/>
        </w:rPr>
        <w:t xml:space="preserve"> Third, t</w:t>
      </w:r>
      <w:r w:rsidRPr="00D11FA2">
        <w:rPr>
          <w:rFonts w:ascii="Times New Roman" w:hAnsi="Times New Roman" w:cs="Times New Roman"/>
          <w:sz w:val="24"/>
          <w:szCs w:val="24"/>
        </w:rPr>
        <w:t>he interaction among various research institutes ha</w:t>
      </w:r>
      <w:r w:rsidR="00FE378D">
        <w:rPr>
          <w:rFonts w:ascii="Times New Roman" w:hAnsi="Times New Roman" w:cs="Times New Roman"/>
          <w:sz w:val="24"/>
          <w:szCs w:val="24"/>
        </w:rPr>
        <w:t>d</w:t>
      </w:r>
      <w:r w:rsidRPr="00D11FA2">
        <w:rPr>
          <w:rFonts w:ascii="Times New Roman" w:hAnsi="Times New Roman" w:cs="Times New Roman"/>
          <w:sz w:val="24"/>
          <w:szCs w:val="24"/>
        </w:rPr>
        <w:t xml:space="preserve"> drastically improved and the necessary scientific networks </w:t>
      </w:r>
      <w:r w:rsidR="00FE378D">
        <w:rPr>
          <w:rFonts w:ascii="Times New Roman" w:hAnsi="Times New Roman" w:cs="Times New Roman"/>
          <w:sz w:val="24"/>
          <w:szCs w:val="24"/>
        </w:rPr>
        <w:t>had been</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developed.</w:t>
      </w:r>
      <w:r w:rsidRPr="00D11FA2">
        <w:rPr>
          <w:rStyle w:val="FootnoteReference"/>
          <w:rFonts w:ascii="Times New Roman" w:hAnsi="Times New Roman" w:cs="Times New Roman"/>
        </w:rPr>
        <w:footnoteReference w:id="22"/>
      </w:r>
      <w:r w:rsidRPr="00073A51">
        <w:t xml:space="preserve"> </w:t>
      </w:r>
      <w:r w:rsidRPr="00073A51">
        <w:rPr>
          <w:rFonts w:ascii="Times New Roman" w:hAnsi="Times New Roman" w:cs="Times New Roman"/>
          <w:sz w:val="24"/>
          <w:szCs w:val="24"/>
        </w:rPr>
        <w:t xml:space="preserve">There </w:t>
      </w:r>
      <w:r w:rsidR="00FE378D">
        <w:rPr>
          <w:rFonts w:ascii="Times New Roman" w:hAnsi="Times New Roman" w:cs="Times New Roman"/>
          <w:sz w:val="24"/>
          <w:szCs w:val="24"/>
        </w:rPr>
        <w:t>had been</w:t>
      </w:r>
      <w:r w:rsidR="00FE378D" w:rsidRPr="00073A51">
        <w:rPr>
          <w:rFonts w:ascii="Times New Roman" w:hAnsi="Times New Roman" w:cs="Times New Roman"/>
          <w:sz w:val="24"/>
          <w:szCs w:val="24"/>
        </w:rPr>
        <w:t xml:space="preserve"> </w:t>
      </w:r>
      <w:r w:rsidRPr="00073A51">
        <w:rPr>
          <w:rFonts w:ascii="Times New Roman" w:hAnsi="Times New Roman" w:cs="Times New Roman"/>
          <w:sz w:val="24"/>
          <w:szCs w:val="24"/>
        </w:rPr>
        <w:t>considerable trust building among scientists working at several different institu</w:t>
      </w:r>
      <w:r w:rsidRPr="00D11FA2">
        <w:rPr>
          <w:rFonts w:ascii="Times New Roman" w:hAnsi="Times New Roman" w:cs="Times New Roman"/>
          <w:sz w:val="24"/>
          <w:szCs w:val="24"/>
        </w:rPr>
        <w:t xml:space="preserve">tes. </w:t>
      </w:r>
      <w:r w:rsidRPr="00374B0C">
        <w:rPr>
          <w:rFonts w:ascii="Times New Roman" w:hAnsi="Times New Roman" w:cs="Times New Roman"/>
          <w:sz w:val="24"/>
          <w:szCs w:val="24"/>
        </w:rPr>
        <w:t xml:space="preserve">The </w:t>
      </w:r>
      <w:r w:rsidRPr="00D11FA2">
        <w:rPr>
          <w:rFonts w:ascii="Times New Roman" w:hAnsi="Times New Roman" w:cs="Times New Roman"/>
          <w:sz w:val="24"/>
          <w:szCs w:val="24"/>
        </w:rPr>
        <w:t xml:space="preserve">scientific infrastructure in the various countries </w:t>
      </w:r>
      <w:r w:rsidR="00FE378D">
        <w:rPr>
          <w:rFonts w:ascii="Times New Roman" w:hAnsi="Times New Roman" w:cs="Times New Roman"/>
          <w:sz w:val="24"/>
          <w:szCs w:val="24"/>
        </w:rPr>
        <w:t>had been</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upgraded</w:t>
      </w:r>
      <w:r w:rsidR="00FE378D">
        <w:rPr>
          <w:rFonts w:ascii="Times New Roman" w:hAnsi="Times New Roman" w:cs="Times New Roman"/>
          <w:sz w:val="24"/>
          <w:szCs w:val="24"/>
        </w:rPr>
        <w:t>,</w:t>
      </w:r>
      <w:r w:rsidRPr="00D11FA2">
        <w:rPr>
          <w:rFonts w:ascii="Times New Roman" w:hAnsi="Times New Roman" w:cs="Times New Roman"/>
          <w:sz w:val="24"/>
          <w:szCs w:val="24"/>
        </w:rPr>
        <w:t xml:space="preserve"> but overall improvements remain</w:t>
      </w:r>
      <w:r w:rsidR="00FE378D">
        <w:rPr>
          <w:rFonts w:ascii="Times New Roman" w:hAnsi="Times New Roman" w:cs="Times New Roman"/>
          <w:sz w:val="24"/>
          <w:szCs w:val="24"/>
        </w:rPr>
        <w:t>ed</w:t>
      </w:r>
      <w:r w:rsidRPr="00D11FA2">
        <w:rPr>
          <w:rFonts w:ascii="Times New Roman" w:hAnsi="Times New Roman" w:cs="Times New Roman"/>
          <w:sz w:val="24"/>
          <w:szCs w:val="24"/>
        </w:rPr>
        <w:t xml:space="preserve"> uneven among</w:t>
      </w:r>
      <w:r w:rsidRPr="00073A51">
        <w:rPr>
          <w:rFonts w:ascii="Times New Roman" w:hAnsi="Times New Roman" w:cs="Times New Roman"/>
          <w:sz w:val="24"/>
          <w:szCs w:val="24"/>
        </w:rPr>
        <w:t xml:space="preserve"> </w:t>
      </w:r>
      <w:r w:rsidRPr="00D11FA2">
        <w:rPr>
          <w:rFonts w:ascii="Times New Roman" w:hAnsi="Times New Roman" w:cs="Times New Roman"/>
          <w:sz w:val="24"/>
          <w:szCs w:val="24"/>
        </w:rPr>
        <w:t>the various institutes</w:t>
      </w:r>
      <w:r>
        <w:rPr>
          <w:rFonts w:ascii="Times New Roman" w:hAnsi="Times New Roman" w:cs="Times New Roman"/>
          <w:sz w:val="24"/>
          <w:szCs w:val="24"/>
        </w:rPr>
        <w:t xml:space="preserve">. Fourth, </w:t>
      </w:r>
      <w:r w:rsidR="00FE378D">
        <w:rPr>
          <w:rFonts w:ascii="Times New Roman" w:hAnsi="Times New Roman" w:cs="Times New Roman"/>
          <w:sz w:val="24"/>
          <w:szCs w:val="24"/>
        </w:rPr>
        <w:t xml:space="preserve">while </w:t>
      </w:r>
      <w:r>
        <w:rPr>
          <w:rFonts w:ascii="Times New Roman" w:hAnsi="Times New Roman" w:cs="Times New Roman"/>
          <w:sz w:val="24"/>
          <w:szCs w:val="24"/>
        </w:rPr>
        <w:t>t</w:t>
      </w:r>
      <w:r w:rsidRPr="00D11FA2">
        <w:rPr>
          <w:rFonts w:ascii="Times New Roman" w:hAnsi="Times New Roman" w:cs="Times New Roman"/>
          <w:sz w:val="24"/>
          <w:szCs w:val="24"/>
        </w:rPr>
        <w:t xml:space="preserve">he funding procedures </w:t>
      </w:r>
      <w:r w:rsidR="00FE378D">
        <w:rPr>
          <w:rFonts w:ascii="Times New Roman" w:hAnsi="Times New Roman" w:cs="Times New Roman"/>
          <w:sz w:val="24"/>
          <w:szCs w:val="24"/>
        </w:rPr>
        <w:t>were</w:t>
      </w:r>
      <w:r w:rsidR="00FE378D" w:rsidRPr="00D11FA2">
        <w:rPr>
          <w:rFonts w:ascii="Times New Roman" w:hAnsi="Times New Roman" w:cs="Times New Roman"/>
          <w:sz w:val="24"/>
          <w:szCs w:val="24"/>
        </w:rPr>
        <w:t xml:space="preserve"> </w:t>
      </w:r>
      <w:r w:rsidRPr="00D11FA2">
        <w:rPr>
          <w:rFonts w:ascii="Times New Roman" w:hAnsi="Times New Roman" w:cs="Times New Roman"/>
          <w:sz w:val="24"/>
          <w:szCs w:val="24"/>
        </w:rPr>
        <w:t>effective and transparent</w:t>
      </w:r>
      <w:r w:rsidR="00FE378D">
        <w:rPr>
          <w:rFonts w:ascii="Times New Roman" w:hAnsi="Times New Roman" w:cs="Times New Roman"/>
          <w:sz w:val="24"/>
          <w:szCs w:val="24"/>
        </w:rPr>
        <w:t xml:space="preserve"> and were</w:t>
      </w:r>
      <w:r w:rsidRPr="00D11FA2">
        <w:rPr>
          <w:rFonts w:ascii="Times New Roman" w:hAnsi="Times New Roman" w:cs="Times New Roman"/>
          <w:sz w:val="24"/>
          <w:szCs w:val="24"/>
        </w:rPr>
        <w:t xml:space="preserve"> fit for purpose, further efficiency gains are possible.</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However, the most </w:t>
      </w:r>
      <w:r w:rsidR="00B046D7">
        <w:rPr>
          <w:rFonts w:ascii="Times New Roman" w:hAnsi="Times New Roman" w:cs="Times New Roman"/>
          <w:sz w:val="24"/>
          <w:szCs w:val="24"/>
        </w:rPr>
        <w:t xml:space="preserve">important </w:t>
      </w:r>
      <w:r w:rsidRPr="00D11FA2">
        <w:rPr>
          <w:rFonts w:ascii="Times New Roman" w:hAnsi="Times New Roman" w:cs="Times New Roman"/>
          <w:sz w:val="24"/>
          <w:szCs w:val="24"/>
        </w:rPr>
        <w:t>overriding conclusions were that:</w:t>
      </w:r>
    </w:p>
    <w:p w:rsidR="005F7F0D" w:rsidRPr="00D11FA2" w:rsidRDefault="005F7F0D" w:rsidP="005F7F0D">
      <w:pPr>
        <w:pStyle w:val="ListParagraph"/>
        <w:numPr>
          <w:ilvl w:val="0"/>
          <w:numId w:val="7"/>
        </w:numPr>
        <w:rPr>
          <w:rFonts w:ascii="Times New Roman" w:hAnsi="Times New Roman" w:cs="Times New Roman"/>
          <w:sz w:val="24"/>
          <w:szCs w:val="24"/>
        </w:rPr>
      </w:pPr>
      <w:r w:rsidRPr="00D11FA2">
        <w:rPr>
          <w:rFonts w:ascii="Times New Roman" w:hAnsi="Times New Roman" w:cs="Times New Roman"/>
          <w:sz w:val="24"/>
          <w:szCs w:val="24"/>
        </w:rPr>
        <w:t>Both Centres needed to be further transformed given the current and future security landscape</w:t>
      </w:r>
      <w:r w:rsidR="00B046D7">
        <w:rPr>
          <w:rFonts w:ascii="Times New Roman" w:hAnsi="Times New Roman" w:cs="Times New Roman"/>
          <w:sz w:val="24"/>
          <w:szCs w:val="24"/>
        </w:rPr>
        <w:t>s</w:t>
      </w:r>
      <w:r w:rsidRPr="00D11FA2">
        <w:rPr>
          <w:rFonts w:ascii="Times New Roman" w:hAnsi="Times New Roman" w:cs="Times New Roman"/>
          <w:sz w:val="24"/>
          <w:szCs w:val="24"/>
        </w:rPr>
        <w:t xml:space="preserve"> that require faster, more flexible and more multidisciplinary responses;</w:t>
      </w:r>
    </w:p>
    <w:p w:rsidR="005F7F0D" w:rsidRPr="00D11FA2" w:rsidRDefault="005F7F0D" w:rsidP="005F7F0D">
      <w:pPr>
        <w:pStyle w:val="ListParagraph"/>
        <w:numPr>
          <w:ilvl w:val="0"/>
          <w:numId w:val="7"/>
        </w:numPr>
        <w:rPr>
          <w:rFonts w:ascii="Times New Roman" w:hAnsi="Times New Roman" w:cs="Times New Roman"/>
          <w:sz w:val="24"/>
          <w:szCs w:val="24"/>
        </w:rPr>
      </w:pPr>
      <w:r w:rsidRPr="00D11FA2">
        <w:rPr>
          <w:rFonts w:ascii="Times New Roman" w:hAnsi="Times New Roman" w:cs="Times New Roman"/>
          <w:sz w:val="24"/>
          <w:szCs w:val="24"/>
        </w:rPr>
        <w:t>The objectives and strategies of the organisations need</w:t>
      </w:r>
      <w:r w:rsidR="00B046D7">
        <w:rPr>
          <w:rFonts w:ascii="Times New Roman" w:hAnsi="Times New Roman" w:cs="Times New Roman"/>
          <w:sz w:val="24"/>
          <w:szCs w:val="24"/>
        </w:rPr>
        <w:t>ed</w:t>
      </w:r>
      <w:r w:rsidRPr="00D11FA2">
        <w:rPr>
          <w:rFonts w:ascii="Times New Roman" w:hAnsi="Times New Roman" w:cs="Times New Roman"/>
          <w:sz w:val="24"/>
          <w:szCs w:val="24"/>
        </w:rPr>
        <w:t xml:space="preserve"> reformulation and </w:t>
      </w:r>
      <w:r w:rsidR="00B046D7">
        <w:rPr>
          <w:rFonts w:ascii="Times New Roman" w:hAnsi="Times New Roman" w:cs="Times New Roman"/>
          <w:sz w:val="24"/>
          <w:szCs w:val="24"/>
        </w:rPr>
        <w:t>should</w:t>
      </w:r>
      <w:r w:rsidRPr="00D11FA2">
        <w:rPr>
          <w:rFonts w:ascii="Times New Roman" w:hAnsi="Times New Roman" w:cs="Times New Roman"/>
          <w:sz w:val="24"/>
          <w:szCs w:val="24"/>
        </w:rPr>
        <w:t xml:space="preserve">, in particular, to be brought closer to the objectives of UNSCR 1540 </w:t>
      </w:r>
      <w:r w:rsidR="00B046D7">
        <w:rPr>
          <w:rFonts w:ascii="Times New Roman" w:hAnsi="Times New Roman" w:cs="Times New Roman"/>
          <w:sz w:val="24"/>
          <w:szCs w:val="24"/>
        </w:rPr>
        <w:t>(</w:t>
      </w:r>
      <w:r w:rsidRPr="00D11FA2">
        <w:rPr>
          <w:rFonts w:ascii="Times New Roman" w:hAnsi="Times New Roman" w:cs="Times New Roman"/>
          <w:sz w:val="24"/>
          <w:szCs w:val="24"/>
        </w:rPr>
        <w:t>2004</w:t>
      </w:r>
      <w:r w:rsidR="00B046D7">
        <w:rPr>
          <w:rFonts w:ascii="Times New Roman" w:hAnsi="Times New Roman" w:cs="Times New Roman"/>
          <w:sz w:val="24"/>
          <w:szCs w:val="24"/>
        </w:rPr>
        <w:t>)</w:t>
      </w:r>
      <w:r w:rsidRPr="00D11FA2">
        <w:rPr>
          <w:rFonts w:ascii="Times New Roman" w:hAnsi="Times New Roman" w:cs="Times New Roman"/>
          <w:sz w:val="24"/>
          <w:szCs w:val="24"/>
        </w:rPr>
        <w:t>;</w:t>
      </w:r>
      <w:r w:rsidR="00B046D7">
        <w:rPr>
          <w:rFonts w:ascii="Times New Roman" w:hAnsi="Times New Roman" w:cs="Times New Roman"/>
          <w:sz w:val="24"/>
          <w:szCs w:val="24"/>
        </w:rPr>
        <w:t xml:space="preserve"> and</w:t>
      </w:r>
    </w:p>
    <w:p w:rsidR="005F7F0D" w:rsidRPr="00D11FA2" w:rsidRDefault="005F7F0D" w:rsidP="005F7F0D">
      <w:pPr>
        <w:pStyle w:val="ListParagraph"/>
        <w:numPr>
          <w:ilvl w:val="0"/>
          <w:numId w:val="7"/>
        </w:numPr>
        <w:rPr>
          <w:rFonts w:ascii="Times New Roman" w:hAnsi="Times New Roman" w:cs="Times New Roman"/>
          <w:sz w:val="24"/>
          <w:szCs w:val="24"/>
        </w:rPr>
      </w:pPr>
      <w:r w:rsidRPr="00D11FA2">
        <w:rPr>
          <w:rFonts w:ascii="Times New Roman" w:hAnsi="Times New Roman" w:cs="Times New Roman"/>
          <w:sz w:val="24"/>
          <w:szCs w:val="24"/>
        </w:rPr>
        <w:t>The geographic scope of the activities need</w:t>
      </w:r>
      <w:r w:rsidR="00B046D7">
        <w:rPr>
          <w:rFonts w:ascii="Times New Roman" w:hAnsi="Times New Roman" w:cs="Times New Roman"/>
          <w:sz w:val="24"/>
          <w:szCs w:val="24"/>
        </w:rPr>
        <w:t>ed</w:t>
      </w:r>
      <w:r w:rsidRPr="00D11FA2">
        <w:rPr>
          <w:rFonts w:ascii="Times New Roman" w:hAnsi="Times New Roman" w:cs="Times New Roman"/>
          <w:sz w:val="24"/>
          <w:szCs w:val="24"/>
        </w:rPr>
        <w:t xml:space="preserve"> to be expanded given current and future CBRN and other relevant threats and risks.</w:t>
      </w:r>
    </w:p>
    <w:p w:rsidR="00B046D7" w:rsidRDefault="005F7F0D" w:rsidP="005F7F0D">
      <w:pPr>
        <w:rPr>
          <w:rFonts w:ascii="Times New Roman" w:hAnsi="Times New Roman" w:cs="Times New Roman"/>
          <w:sz w:val="28"/>
          <w:szCs w:val="24"/>
          <w:vertAlign w:val="superscript"/>
        </w:rPr>
      </w:pPr>
      <w:r w:rsidRPr="00D11FA2">
        <w:rPr>
          <w:rFonts w:ascii="Times New Roman" w:hAnsi="Times New Roman" w:cs="Times New Roman"/>
          <w:sz w:val="24"/>
          <w:szCs w:val="24"/>
        </w:rPr>
        <w:t xml:space="preserve">This review process led </w:t>
      </w:r>
      <w:r w:rsidR="00B046D7">
        <w:rPr>
          <w:rFonts w:ascii="Times New Roman" w:hAnsi="Times New Roman" w:cs="Times New Roman"/>
          <w:sz w:val="24"/>
          <w:szCs w:val="24"/>
        </w:rPr>
        <w:t>to</w:t>
      </w:r>
      <w:r w:rsidRPr="00D11FA2">
        <w:rPr>
          <w:rFonts w:ascii="Times New Roman" w:hAnsi="Times New Roman" w:cs="Times New Roman"/>
          <w:sz w:val="24"/>
          <w:szCs w:val="24"/>
        </w:rPr>
        <w:t xml:space="preserve"> </w:t>
      </w:r>
      <w:r w:rsidR="00B046D7">
        <w:rPr>
          <w:rFonts w:ascii="Times New Roman" w:hAnsi="Times New Roman" w:cs="Times New Roman"/>
          <w:sz w:val="24"/>
          <w:szCs w:val="24"/>
        </w:rPr>
        <w:t xml:space="preserve">development of </w:t>
      </w:r>
      <w:r w:rsidRPr="00D11FA2">
        <w:rPr>
          <w:rFonts w:ascii="Times New Roman" w:hAnsi="Times New Roman" w:cs="Times New Roman"/>
          <w:sz w:val="24"/>
          <w:szCs w:val="24"/>
        </w:rPr>
        <w:t xml:space="preserve">a new strategy </w:t>
      </w:r>
      <w:r w:rsidR="00B046D7">
        <w:rPr>
          <w:rFonts w:ascii="Times New Roman" w:hAnsi="Times New Roman" w:cs="Times New Roman"/>
          <w:sz w:val="24"/>
          <w:szCs w:val="24"/>
        </w:rPr>
        <w:t xml:space="preserve">for the STCU </w:t>
      </w:r>
      <w:r w:rsidRPr="00D11FA2">
        <w:rPr>
          <w:rFonts w:ascii="Times New Roman" w:hAnsi="Times New Roman" w:cs="Times New Roman"/>
          <w:sz w:val="24"/>
          <w:szCs w:val="24"/>
        </w:rPr>
        <w:t>and a new Continuation Agreement</w:t>
      </w:r>
      <w:r w:rsidR="00B046D7">
        <w:rPr>
          <w:rFonts w:ascii="Times New Roman" w:hAnsi="Times New Roman" w:cs="Times New Roman"/>
          <w:sz w:val="24"/>
          <w:szCs w:val="24"/>
        </w:rPr>
        <w:t xml:space="preserve"> for the ISTC, which</w:t>
      </w:r>
      <w:r w:rsidRPr="00D11FA2">
        <w:rPr>
          <w:rFonts w:ascii="Times New Roman" w:hAnsi="Times New Roman" w:cs="Times New Roman"/>
          <w:sz w:val="24"/>
          <w:szCs w:val="24"/>
        </w:rPr>
        <w:t xml:space="preserve"> entered into force on 14 December 2017.</w:t>
      </w:r>
      <w:r w:rsidRPr="00D11FA2">
        <w:rPr>
          <w:rFonts w:ascii="Times New Roman" w:hAnsi="Times New Roman" w:cs="Times New Roman"/>
          <w:sz w:val="24"/>
          <w:vertAlign w:val="superscript"/>
        </w:rPr>
        <w:footnoteReference w:id="23"/>
      </w:r>
      <w:r w:rsidRPr="00D11FA2">
        <w:rPr>
          <w:rFonts w:ascii="Times New Roman" w:hAnsi="Times New Roman" w:cs="Times New Roman"/>
          <w:sz w:val="28"/>
          <w:szCs w:val="24"/>
          <w:vertAlign w:val="superscript"/>
        </w:rPr>
        <w:t xml:space="preserve"> </w:t>
      </w:r>
    </w:p>
    <w:p w:rsidR="005F7F0D" w:rsidRPr="00374B0C" w:rsidRDefault="00B046D7" w:rsidP="005F7F0D">
      <w:pPr>
        <w:rPr>
          <w:rFonts w:ascii="Times New Roman" w:hAnsi="Times New Roman" w:cs="Times New Roman"/>
          <w:sz w:val="28"/>
          <w:szCs w:val="24"/>
          <w:vertAlign w:val="superscript"/>
        </w:rPr>
      </w:pPr>
      <w:r>
        <w:rPr>
          <w:rFonts w:ascii="Times New Roman" w:hAnsi="Times New Roman" w:cs="Times New Roman"/>
          <w:sz w:val="24"/>
          <w:szCs w:val="24"/>
        </w:rPr>
        <w:t>Among t</w:t>
      </w:r>
      <w:r w:rsidR="005F7F0D" w:rsidRPr="00D11FA2">
        <w:rPr>
          <w:rFonts w:ascii="Times New Roman" w:hAnsi="Times New Roman" w:cs="Times New Roman"/>
          <w:sz w:val="24"/>
          <w:szCs w:val="24"/>
        </w:rPr>
        <w:t xml:space="preserve">he most important changes brought about by the renewed ISTC agreement </w:t>
      </w:r>
      <w:r>
        <w:rPr>
          <w:rFonts w:ascii="Times New Roman" w:hAnsi="Times New Roman" w:cs="Times New Roman"/>
          <w:sz w:val="24"/>
          <w:szCs w:val="24"/>
        </w:rPr>
        <w:t>were</w:t>
      </w:r>
      <w:r w:rsidR="005F7F0D" w:rsidRPr="00D11FA2">
        <w:rPr>
          <w:rFonts w:ascii="Times New Roman" w:hAnsi="Times New Roman" w:cs="Times New Roman"/>
          <w:sz w:val="24"/>
          <w:szCs w:val="24"/>
        </w:rPr>
        <w:t xml:space="preserve">: </w:t>
      </w:r>
    </w:p>
    <w:p w:rsidR="005F7F0D" w:rsidRPr="00D11FA2" w:rsidRDefault="005F7F0D" w:rsidP="005F7F0D">
      <w:pPr>
        <w:pStyle w:val="ListParagraph"/>
        <w:numPr>
          <w:ilvl w:val="0"/>
          <w:numId w:val="7"/>
        </w:numPr>
        <w:rPr>
          <w:rFonts w:ascii="Times New Roman" w:hAnsi="Times New Roman" w:cs="Times New Roman"/>
          <w:sz w:val="24"/>
          <w:szCs w:val="24"/>
        </w:rPr>
      </w:pPr>
      <w:r w:rsidRPr="00D11FA2">
        <w:rPr>
          <w:rFonts w:ascii="Times New Roman" w:hAnsi="Times New Roman" w:cs="Times New Roman"/>
          <w:sz w:val="24"/>
          <w:szCs w:val="24"/>
        </w:rPr>
        <w:t>The establishment of new objectives</w:t>
      </w:r>
      <w:r w:rsidR="00820945">
        <w:rPr>
          <w:rFonts w:ascii="Times New Roman" w:hAnsi="Times New Roman" w:cs="Times New Roman"/>
          <w:sz w:val="24"/>
          <w:szCs w:val="24"/>
        </w:rPr>
        <w:t>,</w:t>
      </w:r>
      <w:r w:rsidRPr="00D11FA2">
        <w:rPr>
          <w:rFonts w:ascii="Times New Roman" w:hAnsi="Times New Roman" w:cs="Times New Roman"/>
          <w:sz w:val="24"/>
          <w:szCs w:val="24"/>
        </w:rPr>
        <w:t xml:space="preserve"> taking into account the new security challenges </w:t>
      </w:r>
      <w:r w:rsidR="00820945">
        <w:rPr>
          <w:rFonts w:ascii="Times New Roman" w:hAnsi="Times New Roman" w:cs="Times New Roman"/>
          <w:sz w:val="24"/>
          <w:szCs w:val="24"/>
        </w:rPr>
        <w:t>as compared with</w:t>
      </w:r>
      <w:r w:rsidRPr="00D11FA2">
        <w:rPr>
          <w:rFonts w:ascii="Times New Roman" w:hAnsi="Times New Roman" w:cs="Times New Roman"/>
          <w:sz w:val="24"/>
          <w:szCs w:val="24"/>
        </w:rPr>
        <w:t xml:space="preserve"> those of the 1990s;</w:t>
      </w:r>
    </w:p>
    <w:p w:rsidR="005F7F0D" w:rsidRPr="00D11FA2" w:rsidRDefault="005F7F0D" w:rsidP="005F7F0D">
      <w:pPr>
        <w:pStyle w:val="ListParagraph"/>
        <w:numPr>
          <w:ilvl w:val="0"/>
          <w:numId w:val="7"/>
        </w:numPr>
        <w:rPr>
          <w:rFonts w:ascii="Times New Roman" w:hAnsi="Times New Roman" w:cs="Times New Roman"/>
          <w:sz w:val="24"/>
          <w:szCs w:val="24"/>
        </w:rPr>
      </w:pPr>
      <w:r w:rsidRPr="00D11FA2">
        <w:rPr>
          <w:rFonts w:ascii="Times New Roman" w:hAnsi="Times New Roman" w:cs="Times New Roman"/>
          <w:sz w:val="24"/>
          <w:szCs w:val="24"/>
        </w:rPr>
        <w:t xml:space="preserve">The extension of the geographical scope of the activities of the organization. </w:t>
      </w:r>
      <w:r w:rsidR="00820945">
        <w:rPr>
          <w:rFonts w:ascii="Times New Roman" w:hAnsi="Times New Roman" w:cs="Times New Roman"/>
          <w:sz w:val="24"/>
          <w:szCs w:val="24"/>
        </w:rPr>
        <w:t xml:space="preserve">The </w:t>
      </w:r>
      <w:r w:rsidRPr="00D11FA2">
        <w:rPr>
          <w:rFonts w:ascii="Times New Roman" w:hAnsi="Times New Roman" w:cs="Times New Roman"/>
          <w:sz w:val="24"/>
          <w:szCs w:val="24"/>
        </w:rPr>
        <w:t>ISTC can now operate on a worldwide basis instead of only in the former Soviet Union</w:t>
      </w:r>
      <w:r w:rsidR="00820945">
        <w:rPr>
          <w:rFonts w:ascii="Times New Roman" w:hAnsi="Times New Roman" w:cs="Times New Roman"/>
          <w:sz w:val="24"/>
          <w:szCs w:val="24"/>
        </w:rPr>
        <w:t xml:space="preserve"> republics</w:t>
      </w:r>
      <w:r w:rsidRPr="00D11FA2">
        <w:rPr>
          <w:rFonts w:ascii="Times New Roman" w:hAnsi="Times New Roman" w:cs="Times New Roman"/>
          <w:sz w:val="24"/>
          <w:szCs w:val="24"/>
        </w:rPr>
        <w:t>;</w:t>
      </w:r>
    </w:p>
    <w:p w:rsidR="005F7F0D" w:rsidRPr="00D11FA2" w:rsidRDefault="005F7F0D" w:rsidP="005F7F0D">
      <w:pPr>
        <w:pStyle w:val="ListParagraph"/>
        <w:numPr>
          <w:ilvl w:val="0"/>
          <w:numId w:val="7"/>
        </w:numPr>
        <w:rPr>
          <w:rFonts w:ascii="Times New Roman" w:hAnsi="Times New Roman" w:cs="Times New Roman"/>
          <w:sz w:val="24"/>
          <w:szCs w:val="24"/>
        </w:rPr>
      </w:pPr>
      <w:r w:rsidRPr="00D11FA2">
        <w:rPr>
          <w:rFonts w:ascii="Times New Roman" w:hAnsi="Times New Roman" w:cs="Times New Roman"/>
          <w:sz w:val="24"/>
          <w:szCs w:val="24"/>
        </w:rPr>
        <w:t xml:space="preserve">New rules and funding mechanisms that will enable </w:t>
      </w:r>
      <w:r w:rsidR="00820945">
        <w:rPr>
          <w:rFonts w:ascii="Times New Roman" w:hAnsi="Times New Roman" w:cs="Times New Roman"/>
          <w:sz w:val="24"/>
          <w:szCs w:val="24"/>
        </w:rPr>
        <w:t xml:space="preserve">the </w:t>
      </w:r>
      <w:r w:rsidRPr="00D11FA2">
        <w:rPr>
          <w:rFonts w:ascii="Times New Roman" w:hAnsi="Times New Roman" w:cs="Times New Roman"/>
          <w:sz w:val="24"/>
          <w:szCs w:val="24"/>
        </w:rPr>
        <w:t>ISTC to be more effective in engaging scientists from more countries and from more diverse regions of the world;</w:t>
      </w:r>
    </w:p>
    <w:p w:rsidR="005F7F0D" w:rsidRPr="00D11FA2" w:rsidRDefault="005F7F0D" w:rsidP="005F7F0D">
      <w:pPr>
        <w:pStyle w:val="ListParagraph"/>
        <w:numPr>
          <w:ilvl w:val="0"/>
          <w:numId w:val="7"/>
        </w:numPr>
        <w:rPr>
          <w:rFonts w:ascii="Times New Roman" w:hAnsi="Times New Roman" w:cs="Times New Roman"/>
          <w:sz w:val="24"/>
          <w:szCs w:val="24"/>
        </w:rPr>
      </w:pPr>
      <w:r w:rsidRPr="00D11FA2">
        <w:rPr>
          <w:rFonts w:ascii="Times New Roman" w:hAnsi="Times New Roman" w:cs="Times New Roman"/>
          <w:sz w:val="24"/>
          <w:szCs w:val="24"/>
        </w:rPr>
        <w:t xml:space="preserve">Easier accession procedures for new </w:t>
      </w:r>
      <w:r w:rsidR="00820945">
        <w:rPr>
          <w:rFonts w:ascii="Times New Roman" w:hAnsi="Times New Roman" w:cs="Times New Roman"/>
          <w:sz w:val="24"/>
          <w:szCs w:val="24"/>
        </w:rPr>
        <w:t>m</w:t>
      </w:r>
      <w:r w:rsidRPr="00D11FA2">
        <w:rPr>
          <w:rFonts w:ascii="Times New Roman" w:hAnsi="Times New Roman" w:cs="Times New Roman"/>
          <w:sz w:val="24"/>
          <w:szCs w:val="24"/>
        </w:rPr>
        <w:t>embers</w:t>
      </w:r>
      <w:r w:rsidR="00820945">
        <w:rPr>
          <w:rFonts w:ascii="Times New Roman" w:hAnsi="Times New Roman" w:cs="Times New Roman"/>
          <w:sz w:val="24"/>
          <w:szCs w:val="24"/>
        </w:rPr>
        <w:t>,</w:t>
      </w:r>
      <w:r w:rsidRPr="00D11FA2">
        <w:rPr>
          <w:rFonts w:ascii="Times New Roman" w:hAnsi="Times New Roman" w:cs="Times New Roman"/>
          <w:sz w:val="24"/>
          <w:szCs w:val="24"/>
        </w:rPr>
        <w:t xml:space="preserve"> including the introduction of the concept of observer status at Board and other meetings;</w:t>
      </w:r>
    </w:p>
    <w:p w:rsidR="005F7F0D" w:rsidRPr="00D11FA2" w:rsidRDefault="005F7F0D" w:rsidP="005F7F0D">
      <w:pPr>
        <w:pStyle w:val="ListParagraph"/>
        <w:numPr>
          <w:ilvl w:val="0"/>
          <w:numId w:val="7"/>
        </w:numPr>
        <w:rPr>
          <w:rFonts w:ascii="Times New Roman" w:hAnsi="Times New Roman" w:cs="Times New Roman"/>
          <w:sz w:val="24"/>
          <w:szCs w:val="24"/>
        </w:rPr>
      </w:pPr>
      <w:r w:rsidRPr="00D11FA2">
        <w:rPr>
          <w:rFonts w:ascii="Times New Roman" w:hAnsi="Times New Roman" w:cs="Times New Roman"/>
          <w:sz w:val="24"/>
          <w:szCs w:val="24"/>
        </w:rPr>
        <w:lastRenderedPageBreak/>
        <w:t>Strengthening of independent scientific advice through the Scientific Advisory Committee;</w:t>
      </w:r>
      <w:r w:rsidR="00820945">
        <w:rPr>
          <w:rFonts w:ascii="Times New Roman" w:hAnsi="Times New Roman" w:cs="Times New Roman"/>
          <w:sz w:val="24"/>
          <w:szCs w:val="24"/>
        </w:rPr>
        <w:t xml:space="preserve"> and</w:t>
      </w:r>
    </w:p>
    <w:p w:rsidR="005F7F0D" w:rsidRPr="00D11FA2" w:rsidRDefault="005F7F0D" w:rsidP="005F7F0D">
      <w:pPr>
        <w:pStyle w:val="ListParagraph"/>
        <w:numPr>
          <w:ilvl w:val="0"/>
          <w:numId w:val="7"/>
        </w:numPr>
        <w:rPr>
          <w:rFonts w:ascii="Times New Roman" w:hAnsi="Times New Roman" w:cs="Times New Roman"/>
          <w:sz w:val="24"/>
          <w:szCs w:val="24"/>
        </w:rPr>
      </w:pPr>
      <w:r w:rsidRPr="00D11FA2">
        <w:rPr>
          <w:rFonts w:ascii="Times New Roman" w:hAnsi="Times New Roman" w:cs="Times New Roman"/>
          <w:sz w:val="24"/>
          <w:szCs w:val="24"/>
        </w:rPr>
        <w:t>The transfer of the ISTC Headquarters from Moscow to Astana, Kazakhstan.</w:t>
      </w:r>
    </w:p>
    <w:p w:rsidR="005F7F0D" w:rsidRPr="00073A51" w:rsidRDefault="005F7F0D" w:rsidP="005F7F0D">
      <w:r w:rsidRPr="00D11FA2">
        <w:rPr>
          <w:rFonts w:ascii="Times New Roman" w:hAnsi="Times New Roman" w:cs="Times New Roman"/>
          <w:sz w:val="24"/>
          <w:szCs w:val="24"/>
        </w:rPr>
        <w:t xml:space="preserve">The overall </w:t>
      </w:r>
      <w:r w:rsidRPr="00073A51">
        <w:rPr>
          <w:rFonts w:ascii="Times New Roman" w:hAnsi="Times New Roman" w:cs="Times New Roman"/>
          <w:sz w:val="24"/>
          <w:szCs w:val="24"/>
        </w:rPr>
        <w:t xml:space="preserve">result </w:t>
      </w:r>
      <w:r w:rsidRPr="00D11FA2">
        <w:rPr>
          <w:rFonts w:ascii="Times New Roman" w:hAnsi="Times New Roman" w:cs="Times New Roman"/>
          <w:sz w:val="24"/>
          <w:szCs w:val="24"/>
        </w:rPr>
        <w:t xml:space="preserve">of the renewed agreement is </w:t>
      </w:r>
      <w:r w:rsidRPr="00073A51">
        <w:rPr>
          <w:rFonts w:ascii="Times New Roman" w:hAnsi="Times New Roman" w:cs="Times New Roman"/>
          <w:sz w:val="24"/>
          <w:szCs w:val="24"/>
        </w:rPr>
        <w:t>the reinforcement of</w:t>
      </w:r>
      <w:r w:rsidRPr="00D11FA2">
        <w:rPr>
          <w:rFonts w:ascii="Times New Roman" w:hAnsi="Times New Roman" w:cs="Times New Roman"/>
          <w:sz w:val="24"/>
          <w:szCs w:val="24"/>
        </w:rPr>
        <w:t xml:space="preserve"> the human dimension inside the overall </w:t>
      </w:r>
      <w:r w:rsidR="00820945">
        <w:rPr>
          <w:rFonts w:ascii="Times New Roman" w:hAnsi="Times New Roman" w:cs="Times New Roman"/>
          <w:sz w:val="24"/>
          <w:szCs w:val="24"/>
        </w:rPr>
        <w:t xml:space="preserve">WMD </w:t>
      </w:r>
      <w:r w:rsidRPr="00D11FA2">
        <w:rPr>
          <w:rFonts w:ascii="Times New Roman" w:hAnsi="Times New Roman" w:cs="Times New Roman"/>
          <w:sz w:val="24"/>
          <w:szCs w:val="24"/>
        </w:rPr>
        <w:t>non-proliferation polic</w:t>
      </w:r>
      <w:r w:rsidR="00820945">
        <w:rPr>
          <w:rFonts w:ascii="Times New Roman" w:hAnsi="Times New Roman" w:cs="Times New Roman"/>
          <w:sz w:val="24"/>
          <w:szCs w:val="24"/>
        </w:rPr>
        <w:t>ies</w:t>
      </w:r>
      <w:r w:rsidRPr="00D11FA2">
        <w:rPr>
          <w:rFonts w:ascii="Times New Roman" w:hAnsi="Times New Roman" w:cs="Times New Roman"/>
          <w:sz w:val="24"/>
          <w:szCs w:val="24"/>
        </w:rPr>
        <w:t xml:space="preserve"> and beyond.</w:t>
      </w:r>
      <w:r w:rsidRPr="00D11FA2" w:rsidDel="00527A13">
        <w:rPr>
          <w:rFonts w:ascii="Times New Roman" w:hAnsi="Times New Roman" w:cs="Times New Roman"/>
          <w:sz w:val="24"/>
          <w:szCs w:val="24"/>
        </w:rPr>
        <w:t xml:space="preserve"> </w:t>
      </w:r>
      <w:r w:rsidRPr="00D11FA2">
        <w:rPr>
          <w:rFonts w:ascii="Times New Roman" w:hAnsi="Times New Roman" w:cs="Times New Roman"/>
          <w:sz w:val="24"/>
          <w:szCs w:val="24"/>
        </w:rPr>
        <w:t xml:space="preserve">As the first sign of expansion of the activities, pilot projects have </w:t>
      </w:r>
      <w:r w:rsidR="00820945">
        <w:rPr>
          <w:rFonts w:ascii="Times New Roman" w:hAnsi="Times New Roman" w:cs="Times New Roman"/>
          <w:sz w:val="24"/>
          <w:szCs w:val="24"/>
        </w:rPr>
        <w:t>been initiated</w:t>
      </w:r>
      <w:r w:rsidRPr="00D11FA2">
        <w:rPr>
          <w:rFonts w:ascii="Times New Roman" w:hAnsi="Times New Roman" w:cs="Times New Roman"/>
          <w:sz w:val="24"/>
          <w:szCs w:val="24"/>
        </w:rPr>
        <w:t xml:space="preserve"> in the Middle East and South/East Africa</w:t>
      </w:r>
      <w:r w:rsidR="00820945">
        <w:rPr>
          <w:rFonts w:ascii="Times New Roman" w:hAnsi="Times New Roman" w:cs="Times New Roman"/>
          <w:sz w:val="24"/>
          <w:szCs w:val="24"/>
        </w:rPr>
        <w:t>, as the work</w:t>
      </w:r>
      <w:r w:rsidRPr="00D11FA2">
        <w:rPr>
          <w:rFonts w:ascii="Times New Roman" w:hAnsi="Times New Roman" w:cs="Times New Roman"/>
          <w:sz w:val="24"/>
          <w:szCs w:val="24"/>
        </w:rPr>
        <w:t xml:space="preserve"> of </w:t>
      </w:r>
      <w:r w:rsidR="00820945">
        <w:rPr>
          <w:rFonts w:ascii="Times New Roman" w:hAnsi="Times New Roman" w:cs="Times New Roman"/>
          <w:sz w:val="24"/>
          <w:szCs w:val="24"/>
        </w:rPr>
        <w:t xml:space="preserve">the </w:t>
      </w:r>
      <w:r w:rsidRPr="00D11FA2">
        <w:rPr>
          <w:rFonts w:ascii="Times New Roman" w:hAnsi="Times New Roman" w:cs="Times New Roman"/>
          <w:sz w:val="24"/>
          <w:szCs w:val="24"/>
        </w:rPr>
        <w:t>ISTC continues in Central Asia and the Caucasus.</w:t>
      </w:r>
      <w:r w:rsidRPr="00073A51">
        <w:t xml:space="preserve"> </w:t>
      </w:r>
    </w:p>
    <w:p w:rsidR="005F7F0D" w:rsidRPr="00D11FA2" w:rsidRDefault="00820945" w:rsidP="005F7F0D">
      <w:pPr>
        <w:rPr>
          <w:rFonts w:ascii="Times New Roman" w:hAnsi="Times New Roman" w:cs="Times New Roman"/>
          <w:sz w:val="24"/>
          <w:szCs w:val="24"/>
        </w:rPr>
      </w:pPr>
      <w:r>
        <w:rPr>
          <w:rFonts w:ascii="Times New Roman" w:hAnsi="Times New Roman" w:cs="Times New Roman"/>
          <w:sz w:val="24"/>
          <w:szCs w:val="24"/>
        </w:rPr>
        <w:t>In accordance with its new mission statement, t</w:t>
      </w:r>
      <w:r w:rsidR="005F7F0D" w:rsidRPr="00D11FA2">
        <w:rPr>
          <w:rFonts w:ascii="Times New Roman" w:hAnsi="Times New Roman" w:cs="Times New Roman"/>
          <w:sz w:val="24"/>
          <w:szCs w:val="24"/>
        </w:rPr>
        <w:t>he STCU</w:t>
      </w:r>
      <w:r>
        <w:rPr>
          <w:rFonts w:ascii="Times New Roman" w:hAnsi="Times New Roman" w:cs="Times New Roman"/>
          <w:sz w:val="24"/>
          <w:szCs w:val="24"/>
        </w:rPr>
        <w:t>, whose main focal countries are Azerbaijan, Georgia, Moldova</w:t>
      </w:r>
      <w:r w:rsidRPr="00D11FA2">
        <w:rPr>
          <w:rFonts w:ascii="Times New Roman" w:hAnsi="Times New Roman" w:cs="Times New Roman"/>
          <w:sz w:val="24"/>
          <w:szCs w:val="24"/>
        </w:rPr>
        <w:t xml:space="preserve"> and Ukraine</w:t>
      </w:r>
      <w:r>
        <w:rPr>
          <w:rFonts w:ascii="Times New Roman" w:hAnsi="Times New Roman" w:cs="Times New Roman"/>
          <w:sz w:val="24"/>
          <w:szCs w:val="24"/>
        </w:rPr>
        <w:t>,</w:t>
      </w:r>
      <w:r w:rsidR="005F7F0D" w:rsidRPr="00D11FA2">
        <w:rPr>
          <w:rFonts w:ascii="Times New Roman" w:hAnsi="Times New Roman" w:cs="Times New Roman"/>
          <w:sz w:val="24"/>
          <w:szCs w:val="24"/>
        </w:rPr>
        <w:t xml:space="preserve"> aims to address the global security threat of the proliferation of WMD-applicable CBRN knowledge and materials. The goals are:</w:t>
      </w:r>
    </w:p>
    <w:p w:rsidR="005F7F0D" w:rsidRPr="00D11FA2" w:rsidRDefault="005F7F0D" w:rsidP="005F7F0D">
      <w:pPr>
        <w:pStyle w:val="ListParagraph"/>
        <w:numPr>
          <w:ilvl w:val="0"/>
          <w:numId w:val="9"/>
        </w:numPr>
        <w:rPr>
          <w:rFonts w:ascii="Times New Roman" w:hAnsi="Times New Roman" w:cs="Times New Roman"/>
          <w:sz w:val="24"/>
          <w:szCs w:val="24"/>
        </w:rPr>
      </w:pPr>
      <w:r w:rsidRPr="00D11FA2">
        <w:rPr>
          <w:rFonts w:ascii="Times New Roman" w:hAnsi="Times New Roman" w:cs="Times New Roman"/>
          <w:sz w:val="24"/>
          <w:szCs w:val="24"/>
        </w:rPr>
        <w:t>To support the integration of scientists with WMD applicable knowledge into global scientific and economic communities through national, regional, and international research collaboration;</w:t>
      </w:r>
    </w:p>
    <w:p w:rsidR="005F7F0D" w:rsidRPr="00D11FA2" w:rsidRDefault="005F7F0D" w:rsidP="005F7F0D">
      <w:pPr>
        <w:pStyle w:val="ListParagraph"/>
        <w:numPr>
          <w:ilvl w:val="0"/>
          <w:numId w:val="9"/>
        </w:numPr>
        <w:rPr>
          <w:rFonts w:ascii="Times New Roman" w:hAnsi="Times New Roman" w:cs="Times New Roman"/>
          <w:sz w:val="24"/>
          <w:szCs w:val="24"/>
        </w:rPr>
      </w:pPr>
      <w:r w:rsidRPr="00D11FA2">
        <w:rPr>
          <w:rFonts w:ascii="Times New Roman" w:hAnsi="Times New Roman" w:cs="Times New Roman"/>
          <w:sz w:val="24"/>
          <w:szCs w:val="24"/>
        </w:rPr>
        <w:t>To develop and sustain a culture of non-proliferation and CBRN security awareness and responsibility through education, mentorship, and training;</w:t>
      </w:r>
    </w:p>
    <w:p w:rsidR="005F7F0D" w:rsidRPr="00073A51" w:rsidRDefault="005F7F0D" w:rsidP="005F7F0D">
      <w:pPr>
        <w:pStyle w:val="ListParagraph"/>
        <w:numPr>
          <w:ilvl w:val="0"/>
          <w:numId w:val="9"/>
        </w:numPr>
        <w:rPr>
          <w:rFonts w:ascii="Times New Roman" w:hAnsi="Times New Roman" w:cs="Times New Roman"/>
          <w:sz w:val="24"/>
          <w:szCs w:val="24"/>
        </w:rPr>
      </w:pPr>
      <w:r w:rsidRPr="00D11FA2">
        <w:rPr>
          <w:rFonts w:ascii="Times New Roman" w:hAnsi="Times New Roman" w:cs="Times New Roman"/>
          <w:sz w:val="24"/>
          <w:szCs w:val="24"/>
        </w:rPr>
        <w:t>To promote international best practices and security culture to mitigate CBRN security threats.</w:t>
      </w:r>
      <w:r w:rsidRPr="00073A51">
        <w:rPr>
          <w:rStyle w:val="FootnoteReference"/>
          <w:rFonts w:ascii="Times New Roman" w:hAnsi="Times New Roman" w:cs="Times New Roman"/>
        </w:rPr>
        <w:footnoteReference w:id="24"/>
      </w:r>
    </w:p>
    <w:p w:rsidR="005F7F0D" w:rsidRPr="00D11FA2" w:rsidRDefault="00820945" w:rsidP="005F7F0D">
      <w:pPr>
        <w:rPr>
          <w:rFonts w:ascii="Times New Roman" w:hAnsi="Times New Roman" w:cs="Times New Roman"/>
          <w:sz w:val="24"/>
          <w:szCs w:val="24"/>
        </w:rPr>
      </w:pPr>
      <w:r>
        <w:rPr>
          <w:rFonts w:ascii="Times New Roman" w:hAnsi="Times New Roman" w:cs="Times New Roman"/>
          <w:sz w:val="24"/>
          <w:szCs w:val="24"/>
        </w:rPr>
        <w:t>As discussed below, b</w:t>
      </w:r>
      <w:r w:rsidR="005F7F0D" w:rsidRPr="00D11FA2">
        <w:rPr>
          <w:rFonts w:ascii="Times New Roman" w:hAnsi="Times New Roman" w:cs="Times New Roman"/>
          <w:sz w:val="24"/>
          <w:szCs w:val="24"/>
        </w:rPr>
        <w:t xml:space="preserve">oth Centres are </w:t>
      </w:r>
      <w:r>
        <w:rPr>
          <w:rFonts w:ascii="Times New Roman" w:hAnsi="Times New Roman" w:cs="Times New Roman"/>
          <w:sz w:val="24"/>
          <w:szCs w:val="24"/>
        </w:rPr>
        <w:t xml:space="preserve">currently </w:t>
      </w:r>
      <w:r w:rsidR="005F7F0D" w:rsidRPr="00D11FA2">
        <w:rPr>
          <w:rFonts w:ascii="Times New Roman" w:hAnsi="Times New Roman" w:cs="Times New Roman"/>
          <w:sz w:val="24"/>
          <w:szCs w:val="24"/>
        </w:rPr>
        <w:t>at important crossroads.</w:t>
      </w:r>
      <w:r w:rsidR="005F7F0D" w:rsidRPr="00D11FA2">
        <w:rPr>
          <w:rStyle w:val="FootnoteReference"/>
          <w:rFonts w:ascii="Times New Roman" w:hAnsi="Times New Roman" w:cs="Times New Roman"/>
        </w:rPr>
        <w:footnoteReference w:id="25"/>
      </w:r>
      <w:r w:rsidR="005F7F0D" w:rsidRPr="00D11FA2">
        <w:rPr>
          <w:rFonts w:ascii="Times New Roman" w:hAnsi="Times New Roman" w:cs="Times New Roman"/>
          <w:sz w:val="24"/>
          <w:szCs w:val="24"/>
        </w:rPr>
        <w:t xml:space="preserve"> </w:t>
      </w:r>
    </w:p>
    <w:p w:rsidR="005F7F0D" w:rsidRPr="00D11FA2" w:rsidRDefault="005F7F0D" w:rsidP="005F7F0D">
      <w:pPr>
        <w:pStyle w:val="ListParagraph"/>
        <w:rPr>
          <w:rFonts w:ascii="Times New Roman" w:hAnsi="Times New Roman" w:cs="Times New Roman"/>
          <w:sz w:val="24"/>
          <w:szCs w:val="24"/>
        </w:rPr>
      </w:pPr>
    </w:p>
    <w:p w:rsidR="005F7F0D" w:rsidRPr="00D11FA2" w:rsidRDefault="005F7F0D" w:rsidP="005F7F0D">
      <w:pPr>
        <w:pStyle w:val="Heading2"/>
      </w:pPr>
      <w:bookmarkStart w:id="8" w:name="_Toc511640362"/>
      <w:r w:rsidRPr="00D11FA2">
        <w:t>Programmes in Iraq as a model</w:t>
      </w:r>
      <w:bookmarkEnd w:id="8"/>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The work of the Centres served as a blueprint for the EU programme to redirect the talents of scientists in Iraq and for a similar programme for </w:t>
      </w:r>
      <w:r w:rsidR="00820945">
        <w:rPr>
          <w:rFonts w:ascii="Times New Roman" w:hAnsi="Times New Roman" w:cs="Times New Roman"/>
          <w:sz w:val="24"/>
          <w:szCs w:val="24"/>
        </w:rPr>
        <w:t>Iraq</w:t>
      </w:r>
      <w:r w:rsidRPr="00D11FA2">
        <w:rPr>
          <w:rFonts w:ascii="Times New Roman" w:hAnsi="Times New Roman" w:cs="Times New Roman"/>
          <w:sz w:val="24"/>
          <w:szCs w:val="24"/>
        </w:rPr>
        <w:t xml:space="preserve"> funded by the USA.</w:t>
      </w:r>
    </w:p>
    <w:p w:rsidR="005F7F0D" w:rsidRPr="00073A51" w:rsidRDefault="005F7F0D" w:rsidP="005F7F0D">
      <w:pPr>
        <w:rPr>
          <w:rFonts w:ascii="Times New Roman" w:hAnsi="Times New Roman" w:cs="Times New Roman"/>
          <w:sz w:val="24"/>
          <w:szCs w:val="24"/>
        </w:rPr>
      </w:pPr>
      <w:r w:rsidRPr="00073A51">
        <w:rPr>
          <w:rFonts w:ascii="Times New Roman" w:hAnsi="Times New Roman" w:cs="Times New Roman"/>
          <w:sz w:val="24"/>
          <w:szCs w:val="24"/>
        </w:rPr>
        <w:t xml:space="preserve">The EU </w:t>
      </w:r>
      <w:r w:rsidRPr="00D11FA2">
        <w:rPr>
          <w:rFonts w:ascii="Times New Roman" w:hAnsi="Times New Roman" w:cs="Times New Roman"/>
          <w:sz w:val="24"/>
          <w:szCs w:val="24"/>
        </w:rPr>
        <w:t>redirection</w:t>
      </w:r>
      <w:r w:rsidRPr="00073A51">
        <w:rPr>
          <w:rFonts w:ascii="Times New Roman" w:hAnsi="Times New Roman" w:cs="Times New Roman"/>
          <w:sz w:val="24"/>
          <w:szCs w:val="24"/>
        </w:rPr>
        <w:t xml:space="preserve"> programme (2010-2013)</w:t>
      </w:r>
      <w:r w:rsidRPr="00D11FA2">
        <w:rPr>
          <w:rFonts w:ascii="Times New Roman" w:hAnsi="Times New Roman" w:cs="Times New Roman"/>
          <w:sz w:val="24"/>
          <w:szCs w:val="24"/>
        </w:rPr>
        <w:t xml:space="preserve"> </w:t>
      </w:r>
      <w:r w:rsidR="00820945">
        <w:rPr>
          <w:rFonts w:ascii="Times New Roman" w:hAnsi="Times New Roman" w:cs="Times New Roman"/>
          <w:sz w:val="24"/>
          <w:szCs w:val="24"/>
        </w:rPr>
        <w:t>for</w:t>
      </w:r>
      <w:r w:rsidR="00820945" w:rsidRPr="00D11FA2">
        <w:rPr>
          <w:rFonts w:ascii="Times New Roman" w:hAnsi="Times New Roman" w:cs="Times New Roman"/>
          <w:sz w:val="24"/>
          <w:szCs w:val="24"/>
        </w:rPr>
        <w:t xml:space="preserve"> </w:t>
      </w:r>
      <w:r w:rsidRPr="00D11FA2">
        <w:rPr>
          <w:rFonts w:ascii="Times New Roman" w:hAnsi="Times New Roman" w:cs="Times New Roman"/>
          <w:sz w:val="24"/>
          <w:szCs w:val="24"/>
        </w:rPr>
        <w:t>former Iraqi WMD scientists</w:t>
      </w:r>
      <w:r w:rsidRPr="00073A51">
        <w:rPr>
          <w:rFonts w:ascii="Times New Roman" w:hAnsi="Times New Roman" w:cs="Times New Roman"/>
          <w:sz w:val="24"/>
          <w:szCs w:val="24"/>
        </w:rPr>
        <w:t xml:space="preserve"> was aimed at providing</w:t>
      </w:r>
      <w:r w:rsidRPr="00D11FA2">
        <w:rPr>
          <w:rFonts w:ascii="Times New Roman" w:hAnsi="Times New Roman" w:cs="Times New Roman"/>
          <w:sz w:val="24"/>
          <w:szCs w:val="24"/>
        </w:rPr>
        <w:t xml:space="preserve"> capacity building for</w:t>
      </w:r>
      <w:r w:rsidRPr="00073A51">
        <w:rPr>
          <w:rFonts w:ascii="Times New Roman" w:hAnsi="Times New Roman" w:cs="Times New Roman"/>
          <w:sz w:val="24"/>
          <w:szCs w:val="24"/>
        </w:rPr>
        <w:t xml:space="preserve"> the</w:t>
      </w:r>
      <w:r w:rsidRPr="00D11FA2">
        <w:rPr>
          <w:rFonts w:ascii="Times New Roman" w:hAnsi="Times New Roman" w:cs="Times New Roman"/>
          <w:sz w:val="24"/>
          <w:szCs w:val="24"/>
        </w:rPr>
        <w:t xml:space="preserve"> decommissioning of nuclear facilities, including site and radioactive waste management</w:t>
      </w:r>
      <w:r w:rsidRPr="00073A51">
        <w:rPr>
          <w:rFonts w:ascii="Times New Roman" w:hAnsi="Times New Roman" w:cs="Times New Roman"/>
          <w:sz w:val="24"/>
          <w:szCs w:val="24"/>
        </w:rPr>
        <w:t>.</w:t>
      </w:r>
      <w:r w:rsidR="00820945">
        <w:rPr>
          <w:rFonts w:ascii="Times New Roman" w:hAnsi="Times New Roman" w:cs="Times New Roman"/>
          <w:sz w:val="24"/>
          <w:szCs w:val="24"/>
        </w:rPr>
        <w:t xml:space="preserve"> </w:t>
      </w:r>
      <w:r w:rsidRPr="00D11FA2">
        <w:rPr>
          <w:rFonts w:ascii="Times New Roman" w:hAnsi="Times New Roman" w:cs="Times New Roman"/>
          <w:sz w:val="24"/>
          <w:szCs w:val="24"/>
        </w:rPr>
        <w:t xml:space="preserve">The main scope of the initiative was to build sustainable capacity in decommissioning, dismantling and decontamination (3D) techniques through the re-engagement of former </w:t>
      </w:r>
      <w:r w:rsidR="00820945">
        <w:rPr>
          <w:rFonts w:ascii="Times New Roman" w:hAnsi="Times New Roman" w:cs="Times New Roman"/>
          <w:sz w:val="24"/>
          <w:szCs w:val="24"/>
        </w:rPr>
        <w:t xml:space="preserve">Iraqi </w:t>
      </w:r>
      <w:r w:rsidRPr="00D11FA2">
        <w:rPr>
          <w:rFonts w:ascii="Times New Roman" w:hAnsi="Times New Roman" w:cs="Times New Roman"/>
          <w:sz w:val="24"/>
          <w:szCs w:val="24"/>
        </w:rPr>
        <w:t>weapon scientists in peaceful activities,</w:t>
      </w:r>
      <w:r w:rsidRPr="00073A51">
        <w:rPr>
          <w:rFonts w:ascii="Times New Roman" w:hAnsi="Times New Roman" w:cs="Times New Roman"/>
          <w:sz w:val="24"/>
          <w:szCs w:val="24"/>
        </w:rPr>
        <w:t xml:space="preserve"> while also</w:t>
      </w:r>
      <w:r w:rsidRPr="00D11FA2">
        <w:rPr>
          <w:rFonts w:ascii="Times New Roman" w:hAnsi="Times New Roman" w:cs="Times New Roman"/>
          <w:sz w:val="24"/>
          <w:szCs w:val="24"/>
        </w:rPr>
        <w:t xml:space="preserve"> facilitating their reconnection with the international scientific community. The project</w:t>
      </w:r>
      <w:r w:rsidRPr="00073A51">
        <w:rPr>
          <w:rFonts w:ascii="Times New Roman" w:hAnsi="Times New Roman" w:cs="Times New Roman"/>
          <w:sz w:val="24"/>
          <w:szCs w:val="24"/>
        </w:rPr>
        <w:t xml:space="preserve"> also provided support to the Iraqi Ministry of </w:t>
      </w:r>
      <w:r w:rsidRPr="00D11FA2">
        <w:rPr>
          <w:rFonts w:ascii="Times New Roman" w:hAnsi="Times New Roman" w:cs="Times New Roman"/>
          <w:sz w:val="24"/>
          <w:szCs w:val="24"/>
        </w:rPr>
        <w:t>Science and Technology in the establishment of a characterization laboratory for uranium analysis required for decommissioning programmes and training. In total</w:t>
      </w:r>
      <w:r w:rsidR="00820945">
        <w:rPr>
          <w:rFonts w:ascii="Times New Roman" w:hAnsi="Times New Roman" w:cs="Times New Roman"/>
          <w:sz w:val="24"/>
          <w:szCs w:val="24"/>
        </w:rPr>
        <w:t>,</w:t>
      </w:r>
      <w:r w:rsidRPr="00D11FA2">
        <w:rPr>
          <w:rFonts w:ascii="Times New Roman" w:hAnsi="Times New Roman" w:cs="Times New Roman"/>
          <w:sz w:val="24"/>
          <w:szCs w:val="24"/>
        </w:rPr>
        <w:t xml:space="preserve"> around 80 nuclear scientists and experts were involved.</w:t>
      </w:r>
      <w:r w:rsidRPr="00073A51">
        <w:rPr>
          <w:rStyle w:val="FootnoteReference"/>
          <w:rFonts w:ascii="Times New Roman" w:hAnsi="Times New Roman" w:cs="Times New Roman"/>
        </w:rPr>
        <w:footnoteReference w:id="26"/>
      </w:r>
      <w:r w:rsidRPr="00073A51">
        <w:rPr>
          <w:rFonts w:ascii="Times New Roman" w:hAnsi="Times New Roman" w:cs="Times New Roman"/>
          <w:sz w:val="24"/>
          <w:szCs w:val="24"/>
        </w:rPr>
        <w:t xml:space="preserve">  </w:t>
      </w:r>
    </w:p>
    <w:p w:rsidR="005F7F0D" w:rsidRPr="00820945" w:rsidRDefault="005F7F0D" w:rsidP="00820945">
      <w:pPr>
        <w:rPr>
          <w:rFonts w:ascii="Times New Roman" w:hAnsi="Times New Roman" w:cs="Times New Roman"/>
          <w:sz w:val="24"/>
          <w:szCs w:val="24"/>
        </w:rPr>
      </w:pPr>
      <w:r w:rsidRPr="00D11FA2">
        <w:rPr>
          <w:rFonts w:ascii="Times New Roman" w:hAnsi="Times New Roman" w:cs="Times New Roman"/>
          <w:sz w:val="24"/>
          <w:szCs w:val="24"/>
        </w:rPr>
        <w:t xml:space="preserve">The US programme </w:t>
      </w:r>
      <w:r w:rsidR="00820945">
        <w:rPr>
          <w:rFonts w:ascii="Times New Roman" w:hAnsi="Times New Roman" w:cs="Times New Roman"/>
          <w:sz w:val="24"/>
          <w:szCs w:val="24"/>
        </w:rPr>
        <w:t>provided support</w:t>
      </w:r>
      <w:r w:rsidRPr="00D11FA2">
        <w:rPr>
          <w:rFonts w:ascii="Times New Roman" w:hAnsi="Times New Roman" w:cs="Times New Roman"/>
          <w:sz w:val="24"/>
          <w:szCs w:val="24"/>
        </w:rPr>
        <w:t xml:space="preserve"> for the redirection of former Iraqi WMD scientists, technicians and engineers </w:t>
      </w:r>
      <w:r w:rsidR="00820945">
        <w:rPr>
          <w:rFonts w:ascii="Times New Roman" w:hAnsi="Times New Roman" w:cs="Times New Roman"/>
          <w:sz w:val="24"/>
          <w:szCs w:val="24"/>
        </w:rPr>
        <w:t>to</w:t>
      </w:r>
      <w:r w:rsidR="00820945"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civilian employment and </w:t>
      </w:r>
      <w:r w:rsidR="00820945">
        <w:rPr>
          <w:rFonts w:ascii="Times New Roman" w:hAnsi="Times New Roman" w:cs="Times New Roman"/>
          <w:sz w:val="24"/>
          <w:szCs w:val="24"/>
        </w:rPr>
        <w:t>discouraging the</w:t>
      </w:r>
      <w:r w:rsidRPr="00D11FA2">
        <w:rPr>
          <w:rFonts w:ascii="Times New Roman" w:hAnsi="Times New Roman" w:cs="Times New Roman"/>
          <w:sz w:val="24"/>
          <w:szCs w:val="24"/>
        </w:rPr>
        <w:t xml:space="preserve"> emigration of this community from Iraq. </w:t>
      </w:r>
      <w:r w:rsidR="00820945">
        <w:rPr>
          <w:rFonts w:ascii="Times New Roman" w:hAnsi="Times New Roman" w:cs="Times New Roman"/>
          <w:sz w:val="24"/>
          <w:szCs w:val="24"/>
        </w:rPr>
        <w:t>US</w:t>
      </w:r>
      <w:r w:rsidRPr="00D11FA2">
        <w:rPr>
          <w:rFonts w:ascii="Times New Roman" w:hAnsi="Times New Roman" w:cs="Times New Roman"/>
          <w:sz w:val="24"/>
          <w:szCs w:val="24"/>
        </w:rPr>
        <w:t xml:space="preserve"> assistance was </w:t>
      </w:r>
      <w:r w:rsidR="00820945">
        <w:rPr>
          <w:rFonts w:ascii="Times New Roman" w:hAnsi="Times New Roman" w:cs="Times New Roman"/>
          <w:sz w:val="24"/>
          <w:szCs w:val="24"/>
        </w:rPr>
        <w:t>also provided</w:t>
      </w:r>
      <w:r w:rsidR="00820945" w:rsidRPr="00D11FA2">
        <w:rPr>
          <w:rFonts w:ascii="Times New Roman" w:hAnsi="Times New Roman" w:cs="Times New Roman"/>
          <w:sz w:val="24"/>
          <w:szCs w:val="24"/>
        </w:rPr>
        <w:t xml:space="preserve"> </w:t>
      </w:r>
      <w:r w:rsidRPr="00D11FA2">
        <w:rPr>
          <w:rFonts w:ascii="Times New Roman" w:hAnsi="Times New Roman" w:cs="Times New Roman"/>
          <w:sz w:val="24"/>
          <w:szCs w:val="24"/>
        </w:rPr>
        <w:t>for the creation of the Iraqi International Centre for Science and Industry (IICSI).</w:t>
      </w:r>
      <w:r w:rsidRPr="00073A51">
        <w:rPr>
          <w:rStyle w:val="FootnoteReference"/>
          <w:rFonts w:ascii="Times New Roman" w:hAnsi="Times New Roman" w:cs="Times New Roman"/>
        </w:rPr>
        <w:footnoteReference w:id="27"/>
      </w:r>
    </w:p>
    <w:p w:rsidR="005F7F0D" w:rsidRPr="00D11FA2" w:rsidRDefault="005F7F0D" w:rsidP="005F7F0D">
      <w:pPr>
        <w:pStyle w:val="Heading2"/>
      </w:pPr>
      <w:bookmarkStart w:id="9" w:name="_Toc511640363"/>
      <w:r w:rsidRPr="00D11FA2">
        <w:lastRenderedPageBreak/>
        <w:t>The CBRN Risk Mitigation Centres of Excellence model</w:t>
      </w:r>
      <w:bookmarkEnd w:id="9"/>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CBRN incidents may be accidental</w:t>
      </w:r>
      <w:r w:rsidR="00820945">
        <w:rPr>
          <w:rFonts w:ascii="Times New Roman" w:hAnsi="Times New Roman" w:cs="Times New Roman"/>
          <w:sz w:val="24"/>
          <w:szCs w:val="24"/>
        </w:rPr>
        <w:t>,</w:t>
      </w:r>
      <w:r w:rsidRPr="00D11FA2">
        <w:rPr>
          <w:rFonts w:ascii="Times New Roman" w:hAnsi="Times New Roman" w:cs="Times New Roman"/>
          <w:sz w:val="24"/>
          <w:szCs w:val="24"/>
        </w:rPr>
        <w:t xml:space="preserve"> due to human error, natural disasters or technical faults</w:t>
      </w:r>
      <w:r w:rsidR="00820945">
        <w:rPr>
          <w:rFonts w:ascii="Times New Roman" w:hAnsi="Times New Roman" w:cs="Times New Roman"/>
          <w:sz w:val="24"/>
          <w:szCs w:val="24"/>
        </w:rPr>
        <w:t>,</w:t>
      </w:r>
      <w:r w:rsidRPr="00D11FA2">
        <w:rPr>
          <w:rFonts w:ascii="Times New Roman" w:hAnsi="Times New Roman" w:cs="Times New Roman"/>
          <w:sz w:val="24"/>
          <w:szCs w:val="24"/>
        </w:rPr>
        <w:t xml:space="preserve"> or intentional</w:t>
      </w:r>
      <w:r w:rsidR="00820945">
        <w:rPr>
          <w:rFonts w:ascii="Times New Roman" w:hAnsi="Times New Roman" w:cs="Times New Roman"/>
          <w:sz w:val="24"/>
          <w:szCs w:val="24"/>
        </w:rPr>
        <w:t>,</w:t>
      </w:r>
      <w:r w:rsidRPr="00D11FA2">
        <w:rPr>
          <w:rFonts w:ascii="Times New Roman" w:hAnsi="Times New Roman" w:cs="Times New Roman"/>
          <w:sz w:val="24"/>
          <w:szCs w:val="24"/>
        </w:rPr>
        <w:t xml:space="preserve"> due to criminal or malicious motives</w:t>
      </w:r>
      <w:r w:rsidR="00820945">
        <w:rPr>
          <w:rFonts w:ascii="Times New Roman" w:hAnsi="Times New Roman" w:cs="Times New Roman"/>
          <w:sz w:val="24"/>
          <w:szCs w:val="24"/>
        </w:rPr>
        <w:t>,</w:t>
      </w:r>
      <w:r w:rsidRPr="00D11FA2">
        <w:rPr>
          <w:rFonts w:ascii="Times New Roman" w:hAnsi="Times New Roman" w:cs="Times New Roman"/>
          <w:sz w:val="24"/>
          <w:szCs w:val="24"/>
        </w:rPr>
        <w:t xml:space="preserve"> such as terrorist acts and sabotage.</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CBRN risks represent a key threat to the security and health of human beings, the environment and critical infrastructures. Promoting a multi-hazards culture of safety and security in this area, from prevention to consequence management, is fundamental to development and stability. Disease surveillance, waste management, emergency</w:t>
      </w:r>
      <w:r w:rsidRPr="00073A51">
        <w:rPr>
          <w:rFonts w:ascii="Times New Roman" w:hAnsi="Times New Roman" w:cs="Times New Roman"/>
          <w:sz w:val="24"/>
          <w:szCs w:val="24"/>
        </w:rPr>
        <w:t xml:space="preserve"> </w:t>
      </w:r>
      <w:r w:rsidRPr="00D11FA2">
        <w:rPr>
          <w:rFonts w:ascii="Times New Roman" w:hAnsi="Times New Roman" w:cs="Times New Roman"/>
          <w:sz w:val="24"/>
          <w:szCs w:val="24"/>
        </w:rPr>
        <w:t xml:space="preserve">planning, civil protection and cross-border trafficking of CBRN materials are areas of </w:t>
      </w:r>
      <w:r w:rsidR="007B3852">
        <w:rPr>
          <w:rFonts w:ascii="Times New Roman" w:hAnsi="Times New Roman" w:cs="Times New Roman"/>
          <w:sz w:val="24"/>
          <w:szCs w:val="24"/>
        </w:rPr>
        <w:t xml:space="preserve">potential </w:t>
      </w:r>
      <w:r w:rsidRPr="00073A51">
        <w:rPr>
          <w:rFonts w:ascii="Times New Roman" w:hAnsi="Times New Roman" w:cs="Times New Roman"/>
          <w:sz w:val="24"/>
          <w:szCs w:val="24"/>
        </w:rPr>
        <w:t>cooperation</w:t>
      </w:r>
      <w:r w:rsidR="007B3852">
        <w:rPr>
          <w:rFonts w:ascii="Times New Roman" w:hAnsi="Times New Roman" w:cs="Times New Roman"/>
          <w:sz w:val="24"/>
          <w:szCs w:val="24"/>
        </w:rPr>
        <w:t>, e.g.</w:t>
      </w:r>
      <w:r w:rsidRPr="00073A51">
        <w:rPr>
          <w:rFonts w:ascii="Times New Roman" w:hAnsi="Times New Roman" w:cs="Times New Roman"/>
          <w:sz w:val="24"/>
          <w:szCs w:val="24"/>
        </w:rPr>
        <w:t xml:space="preserve">, work </w:t>
      </w:r>
      <w:r w:rsidR="007B3852">
        <w:rPr>
          <w:rFonts w:ascii="Times New Roman" w:hAnsi="Times New Roman" w:cs="Times New Roman"/>
          <w:sz w:val="24"/>
          <w:szCs w:val="24"/>
        </w:rPr>
        <w:t>to promote</w:t>
      </w:r>
      <w:r w:rsidRPr="00073A51">
        <w:rPr>
          <w:rFonts w:ascii="Times New Roman" w:hAnsi="Times New Roman" w:cs="Times New Roman"/>
          <w:sz w:val="24"/>
          <w:szCs w:val="24"/>
        </w:rPr>
        <w:t xml:space="preserve"> biosafety as well as bio</w:t>
      </w:r>
      <w:r w:rsidRPr="00D11FA2">
        <w:rPr>
          <w:rFonts w:ascii="Times New Roman" w:hAnsi="Times New Roman" w:cs="Times New Roman"/>
          <w:sz w:val="24"/>
          <w:szCs w:val="24"/>
        </w:rPr>
        <w:t>logical and chemical security at a regional level.</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The EU has developed a set of actions for reducing the risks of CBRN materials inside and outside the EU. The objective is to reduce accessibility of CBRN materials, ensuring more robust preparedness, building stronger internal and external links on CBRN engagement and increasing knowledge and risks.</w:t>
      </w:r>
      <w:r w:rsidRPr="00073A51">
        <w:rPr>
          <w:rStyle w:val="FootnoteReference"/>
          <w:rFonts w:ascii="Times New Roman" w:hAnsi="Times New Roman" w:cs="Times New Roman"/>
        </w:rPr>
        <w:footnoteReference w:id="28"/>
      </w:r>
      <w:r w:rsidRPr="00073A51" w:rsidDel="00527A13">
        <w:rPr>
          <w:rFonts w:ascii="Times New Roman" w:hAnsi="Times New Roman" w:cs="Times New Roman"/>
          <w:sz w:val="24"/>
          <w:szCs w:val="24"/>
        </w:rPr>
        <w:t xml:space="preserve"> </w:t>
      </w:r>
      <w:r w:rsidRPr="00D11FA2">
        <w:rPr>
          <w:rFonts w:ascii="Times New Roman" w:hAnsi="Times New Roman" w:cs="Times New Roman"/>
          <w:sz w:val="24"/>
          <w:szCs w:val="24"/>
        </w:rPr>
        <w:t>As part of the EU’s external relation</w:t>
      </w:r>
      <w:r w:rsidRPr="00073A51">
        <w:rPr>
          <w:rFonts w:ascii="Times New Roman" w:hAnsi="Times New Roman" w:cs="Times New Roman"/>
          <w:sz w:val="24"/>
          <w:szCs w:val="24"/>
        </w:rPr>
        <w:t>s</w:t>
      </w:r>
      <w:r w:rsidRPr="00D11FA2">
        <w:rPr>
          <w:rFonts w:ascii="Times New Roman" w:hAnsi="Times New Roman" w:cs="Times New Roman"/>
          <w:sz w:val="24"/>
          <w:szCs w:val="24"/>
        </w:rPr>
        <w:t xml:space="preserve">, an innovative approach </w:t>
      </w:r>
      <w:r w:rsidRPr="00073A51">
        <w:rPr>
          <w:rFonts w:ascii="Times New Roman" w:hAnsi="Times New Roman" w:cs="Times New Roman"/>
          <w:sz w:val="24"/>
          <w:szCs w:val="24"/>
        </w:rPr>
        <w:t>is</w:t>
      </w:r>
      <w:r w:rsidRPr="00D11FA2">
        <w:rPr>
          <w:rFonts w:ascii="Times New Roman" w:hAnsi="Times New Roman" w:cs="Times New Roman"/>
          <w:sz w:val="24"/>
          <w:szCs w:val="24"/>
        </w:rPr>
        <w:t xml:space="preserve"> </w:t>
      </w:r>
      <w:r w:rsidRPr="00073A51">
        <w:rPr>
          <w:rFonts w:ascii="Times New Roman" w:hAnsi="Times New Roman" w:cs="Times New Roman"/>
          <w:sz w:val="24"/>
          <w:szCs w:val="24"/>
        </w:rPr>
        <w:t xml:space="preserve">being </w:t>
      </w:r>
      <w:r w:rsidRPr="00D11FA2">
        <w:rPr>
          <w:rFonts w:ascii="Times New Roman" w:hAnsi="Times New Roman" w:cs="Times New Roman"/>
          <w:sz w:val="24"/>
          <w:szCs w:val="24"/>
        </w:rPr>
        <w:t xml:space="preserve">developed under the EU CBRN Centres of Excellence initiative, with a budget of more than 200 million euro for the 2010-2020 period. </w:t>
      </w:r>
    </w:p>
    <w:p w:rsidR="005F7F0D" w:rsidRPr="00D11FA2" w:rsidRDefault="005F7F0D" w:rsidP="005F7F0D">
      <w:pPr>
        <w:rPr>
          <w:rFonts w:ascii="Times New Roman" w:hAnsi="Times New Roman" w:cs="Times New Roman"/>
          <w:sz w:val="24"/>
          <w:szCs w:val="24"/>
        </w:rPr>
      </w:pPr>
      <w:r w:rsidRPr="00073A51">
        <w:rPr>
          <w:rFonts w:ascii="Times New Roman" w:hAnsi="Times New Roman" w:cs="Times New Roman"/>
          <w:sz w:val="24"/>
          <w:szCs w:val="24"/>
        </w:rPr>
        <w:t xml:space="preserve">The initiative was launched in response to the need to strengthen the capacity of countries outside the </w:t>
      </w:r>
      <w:r w:rsidR="007B3852">
        <w:rPr>
          <w:rFonts w:ascii="Times New Roman" w:hAnsi="Times New Roman" w:cs="Times New Roman"/>
          <w:sz w:val="24"/>
          <w:szCs w:val="24"/>
        </w:rPr>
        <w:t>EU</w:t>
      </w:r>
      <w:r w:rsidRPr="00D11FA2">
        <w:rPr>
          <w:rFonts w:ascii="Times New Roman" w:hAnsi="Times New Roman" w:cs="Times New Roman"/>
          <w:sz w:val="24"/>
          <w:szCs w:val="24"/>
        </w:rPr>
        <w:t xml:space="preserve"> to mitigate intentional, accidental or natural CBRN risks. The participating countries decide themselves on the priorities at </w:t>
      </w:r>
      <w:r w:rsidR="007B3852">
        <w:rPr>
          <w:rFonts w:ascii="Times New Roman" w:hAnsi="Times New Roman" w:cs="Times New Roman"/>
          <w:sz w:val="24"/>
          <w:szCs w:val="24"/>
        </w:rPr>
        <w:t xml:space="preserve">the </w:t>
      </w:r>
      <w:r w:rsidRPr="00D11FA2">
        <w:rPr>
          <w:rFonts w:ascii="Times New Roman" w:hAnsi="Times New Roman" w:cs="Times New Roman"/>
          <w:sz w:val="24"/>
          <w:szCs w:val="24"/>
        </w:rPr>
        <w:t xml:space="preserve">grassroots expert level. The special support mechanism, the Governance Team, is an integral part of the programme. Their training activities improve inter-agency cooperation both at </w:t>
      </w:r>
      <w:r w:rsidR="007B3852">
        <w:rPr>
          <w:rFonts w:ascii="Times New Roman" w:hAnsi="Times New Roman" w:cs="Times New Roman"/>
          <w:sz w:val="24"/>
          <w:szCs w:val="24"/>
        </w:rPr>
        <w:t xml:space="preserve">the </w:t>
      </w:r>
      <w:r w:rsidRPr="00D11FA2">
        <w:rPr>
          <w:rFonts w:ascii="Times New Roman" w:hAnsi="Times New Roman" w:cs="Times New Roman"/>
          <w:sz w:val="24"/>
          <w:szCs w:val="24"/>
        </w:rPr>
        <w:t xml:space="preserve">national and regional level. This specific programme brings the necessary reforms in order to adequately deal with CBRN-related challenges.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The initiative brings together experts</w:t>
      </w:r>
      <w:r w:rsidR="007B3852">
        <w:rPr>
          <w:rFonts w:ascii="Times New Roman" w:hAnsi="Times New Roman" w:cs="Times New Roman"/>
          <w:sz w:val="24"/>
          <w:szCs w:val="24"/>
        </w:rPr>
        <w:t>,</w:t>
      </w:r>
      <w:r w:rsidRPr="00D11FA2">
        <w:rPr>
          <w:rFonts w:ascii="Times New Roman" w:hAnsi="Times New Roman" w:cs="Times New Roman"/>
          <w:sz w:val="24"/>
          <w:szCs w:val="24"/>
        </w:rPr>
        <w:t xml:space="preserve"> mainly from governmental agencies</w:t>
      </w:r>
      <w:r w:rsidR="007B3852">
        <w:rPr>
          <w:rFonts w:ascii="Times New Roman" w:hAnsi="Times New Roman" w:cs="Times New Roman"/>
          <w:sz w:val="24"/>
          <w:szCs w:val="24"/>
        </w:rPr>
        <w:t>,</w:t>
      </w:r>
      <w:r w:rsidRPr="00D11FA2">
        <w:rPr>
          <w:rFonts w:ascii="Times New Roman" w:hAnsi="Times New Roman" w:cs="Times New Roman"/>
          <w:sz w:val="24"/>
          <w:szCs w:val="24"/>
        </w:rPr>
        <w:t xml:space="preserve"> to identify and respond to CBRN-related needs. International expertise on a permanent basis is made available to the regions concerned to assist in this work. </w:t>
      </w:r>
      <w:r w:rsidR="007B3852">
        <w:rPr>
          <w:rFonts w:ascii="Times New Roman" w:hAnsi="Times New Roman" w:cs="Times New Roman"/>
          <w:sz w:val="24"/>
          <w:szCs w:val="24"/>
        </w:rPr>
        <w:t>S</w:t>
      </w:r>
      <w:r w:rsidRPr="00D11FA2">
        <w:rPr>
          <w:rFonts w:ascii="Times New Roman" w:hAnsi="Times New Roman" w:cs="Times New Roman"/>
          <w:sz w:val="24"/>
          <w:szCs w:val="24"/>
        </w:rPr>
        <w:t xml:space="preserve">pecific identified risks and threats are addressed </w:t>
      </w:r>
      <w:r w:rsidR="007B3852">
        <w:rPr>
          <w:rFonts w:ascii="Times New Roman" w:hAnsi="Times New Roman" w:cs="Times New Roman"/>
          <w:sz w:val="24"/>
          <w:szCs w:val="24"/>
        </w:rPr>
        <w:t>by</w:t>
      </w:r>
      <w:r w:rsidR="007B3852" w:rsidRPr="00D11FA2">
        <w:rPr>
          <w:rFonts w:ascii="Times New Roman" w:hAnsi="Times New Roman" w:cs="Times New Roman"/>
          <w:sz w:val="24"/>
          <w:szCs w:val="24"/>
        </w:rPr>
        <w:t xml:space="preserve"> </w:t>
      </w:r>
      <w:r w:rsidRPr="00D11FA2">
        <w:rPr>
          <w:rFonts w:ascii="Times New Roman" w:hAnsi="Times New Roman" w:cs="Times New Roman"/>
          <w:sz w:val="24"/>
          <w:szCs w:val="24"/>
        </w:rPr>
        <w:t>region or group of regions on a project-by-project basis (see below).</w:t>
      </w:r>
    </w:p>
    <w:p w:rsidR="007B385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The essence of the work is a voluntary demand-driven, bottom-up approach that promotes ownership of the work in the partner countries. </w:t>
      </w:r>
    </w:p>
    <w:p w:rsidR="005F7F0D"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This initiative, driven and implemented by the European Commission (DG International Cooperation and Development - DEVCO), establishes regional platforms to tackle all aspects of CBRN risks arising from natural disasters, accidental catastrophes, and criminal </w:t>
      </w:r>
      <w:proofErr w:type="spellStart"/>
      <w:r w:rsidRPr="00D11FA2">
        <w:rPr>
          <w:rFonts w:ascii="Times New Roman" w:hAnsi="Times New Roman" w:cs="Times New Roman"/>
          <w:sz w:val="24"/>
          <w:szCs w:val="24"/>
        </w:rPr>
        <w:t>behavior</w:t>
      </w:r>
      <w:proofErr w:type="spellEnd"/>
      <w:r w:rsidRPr="00D11FA2">
        <w:rPr>
          <w:rFonts w:ascii="Times New Roman" w:hAnsi="Times New Roman" w:cs="Times New Roman"/>
          <w:sz w:val="24"/>
          <w:szCs w:val="24"/>
        </w:rPr>
        <w:t xml:space="preserve"> by involving all the key stakeholders at a very early stage, thereby fostering the development of expertise in the countries concerned.</w:t>
      </w:r>
      <w:r w:rsidRPr="00D11FA2" w:rsidDel="00527A13">
        <w:rPr>
          <w:rFonts w:ascii="Times New Roman" w:hAnsi="Times New Roman" w:cs="Times New Roman"/>
          <w:sz w:val="24"/>
          <w:szCs w:val="24"/>
        </w:rPr>
        <w:t xml:space="preserve"> </w:t>
      </w:r>
      <w:r w:rsidRPr="00D11FA2">
        <w:rPr>
          <w:rFonts w:ascii="Times New Roman" w:hAnsi="Times New Roman" w:cs="Times New Roman"/>
          <w:sz w:val="24"/>
          <w:szCs w:val="24"/>
        </w:rPr>
        <w:t>Each of the 59 partner countries appoints its</w:t>
      </w:r>
      <w:r w:rsidR="007B3852">
        <w:rPr>
          <w:rFonts w:ascii="Times New Roman" w:hAnsi="Times New Roman" w:cs="Times New Roman"/>
          <w:sz w:val="24"/>
          <w:szCs w:val="24"/>
        </w:rPr>
        <w:t xml:space="preserve"> own</w:t>
      </w:r>
      <w:r w:rsidRPr="00D11FA2">
        <w:rPr>
          <w:rFonts w:ascii="Times New Roman" w:hAnsi="Times New Roman" w:cs="Times New Roman"/>
          <w:sz w:val="24"/>
          <w:szCs w:val="24"/>
        </w:rPr>
        <w:t xml:space="preserve"> </w:t>
      </w:r>
      <w:r w:rsidR="007B3852">
        <w:rPr>
          <w:rFonts w:ascii="Times New Roman" w:hAnsi="Times New Roman" w:cs="Times New Roman"/>
          <w:sz w:val="24"/>
          <w:szCs w:val="24"/>
        </w:rPr>
        <w:t>national focal points (</w:t>
      </w:r>
      <w:r w:rsidRPr="00D11FA2">
        <w:rPr>
          <w:rFonts w:ascii="Times New Roman" w:hAnsi="Times New Roman" w:cs="Times New Roman"/>
          <w:sz w:val="24"/>
          <w:szCs w:val="24"/>
        </w:rPr>
        <w:t>NFP</w:t>
      </w:r>
      <w:r w:rsidR="007B3852">
        <w:rPr>
          <w:rFonts w:ascii="Times New Roman" w:hAnsi="Times New Roman" w:cs="Times New Roman"/>
          <w:sz w:val="24"/>
          <w:szCs w:val="24"/>
        </w:rPr>
        <w:t>s)</w:t>
      </w:r>
      <w:r w:rsidRPr="00D11FA2">
        <w:rPr>
          <w:rFonts w:ascii="Times New Roman" w:hAnsi="Times New Roman" w:cs="Times New Roman"/>
          <w:sz w:val="24"/>
          <w:szCs w:val="24"/>
        </w:rPr>
        <w:t xml:space="preserve"> to coordinate the work to be done in </w:t>
      </w:r>
      <w:r w:rsidRPr="00073A51">
        <w:rPr>
          <w:rFonts w:ascii="Times New Roman" w:hAnsi="Times New Roman" w:cs="Times New Roman"/>
          <w:sz w:val="24"/>
          <w:szCs w:val="24"/>
        </w:rPr>
        <w:t>that</w:t>
      </w:r>
      <w:r w:rsidRPr="00D11FA2">
        <w:rPr>
          <w:rFonts w:ascii="Times New Roman" w:hAnsi="Times New Roman" w:cs="Times New Roman"/>
          <w:sz w:val="24"/>
          <w:szCs w:val="24"/>
        </w:rPr>
        <w:t xml:space="preserve"> country. National CBRN inter-ministerial teams gather representatives from all relevant agencies dealing with CBRN issues, such as diplomats, police, first responders, and judges. They total </w:t>
      </w:r>
      <w:r w:rsidRPr="00073A51">
        <w:rPr>
          <w:rFonts w:ascii="Times New Roman" w:hAnsi="Times New Roman" w:cs="Times New Roman"/>
          <w:sz w:val="24"/>
          <w:szCs w:val="24"/>
        </w:rPr>
        <w:t xml:space="preserve">more than </w:t>
      </w:r>
      <w:r w:rsidRPr="00D11FA2">
        <w:rPr>
          <w:rFonts w:ascii="Times New Roman" w:hAnsi="Times New Roman" w:cs="Times New Roman"/>
          <w:sz w:val="24"/>
          <w:szCs w:val="24"/>
        </w:rPr>
        <w:t>1,000 officials worldwide.</w:t>
      </w:r>
      <w:r w:rsidRPr="00D11FA2">
        <w:rPr>
          <w:rStyle w:val="FootnoteReference"/>
          <w:rFonts w:ascii="Times New Roman" w:hAnsi="Times New Roman" w:cs="Times New Roman"/>
        </w:rPr>
        <w:footnoteReference w:id="29"/>
      </w:r>
      <w:r w:rsidRPr="00D11FA2">
        <w:rPr>
          <w:rFonts w:ascii="Times New Roman" w:hAnsi="Times New Roman" w:cs="Times New Roman"/>
          <w:sz w:val="24"/>
          <w:szCs w:val="24"/>
        </w:rPr>
        <w:t xml:space="preserve"> </w:t>
      </w:r>
    </w:p>
    <w:p w:rsidR="007B3852" w:rsidRPr="00D11FA2" w:rsidRDefault="007B3852" w:rsidP="005F7F0D">
      <w:pPr>
        <w:rPr>
          <w:rFonts w:ascii="Times New Roman" w:hAnsi="Times New Roman" w:cs="Times New Roman"/>
          <w:sz w:val="24"/>
          <w:szCs w:val="24"/>
        </w:rPr>
      </w:pPr>
      <w:r>
        <w:rPr>
          <w:rFonts w:ascii="Times New Roman" w:hAnsi="Times New Roman" w:cs="Times New Roman"/>
          <w:sz w:val="24"/>
          <w:szCs w:val="24"/>
        </w:rPr>
        <w:lastRenderedPageBreak/>
        <w:t>The NFPs, which include</w:t>
      </w:r>
      <w:r w:rsidRPr="00D11FA2">
        <w:rPr>
          <w:rFonts w:ascii="Times New Roman" w:hAnsi="Times New Roman" w:cs="Times New Roman"/>
          <w:sz w:val="24"/>
          <w:szCs w:val="24"/>
        </w:rPr>
        <w:t xml:space="preserve"> local and international experts</w:t>
      </w:r>
      <w:r>
        <w:rPr>
          <w:rFonts w:ascii="Times New Roman" w:hAnsi="Times New Roman" w:cs="Times New Roman"/>
          <w:sz w:val="24"/>
          <w:szCs w:val="24"/>
        </w:rPr>
        <w:t>,</w:t>
      </w:r>
      <w:r w:rsidRPr="00D11FA2">
        <w:rPr>
          <w:rFonts w:ascii="Times New Roman" w:hAnsi="Times New Roman" w:cs="Times New Roman"/>
          <w:sz w:val="24"/>
          <w:szCs w:val="24"/>
        </w:rPr>
        <w:t xml:space="preserve"> meet on a voluntary basis to identify and discuss needs and solutions. </w:t>
      </w:r>
      <w:r w:rsidRPr="00073A51">
        <w:rPr>
          <w:rFonts w:ascii="Times New Roman" w:hAnsi="Times New Roman" w:cs="Times New Roman"/>
          <w:sz w:val="24"/>
          <w:szCs w:val="24"/>
        </w:rPr>
        <w:t>R</w:t>
      </w:r>
      <w:r w:rsidRPr="00D11FA2">
        <w:rPr>
          <w:rFonts w:ascii="Times New Roman" w:hAnsi="Times New Roman" w:cs="Times New Roman"/>
          <w:sz w:val="24"/>
          <w:szCs w:val="24"/>
        </w:rPr>
        <w:t xml:space="preserve">egional roundtables are organised twice a year to identify regional priorities, cross-border CBRN cooperation (including table-top and real-time field exercises) and follow-up of regional activities. </w:t>
      </w:r>
      <w:r>
        <w:rPr>
          <w:rFonts w:ascii="Times New Roman" w:hAnsi="Times New Roman" w:cs="Times New Roman"/>
          <w:sz w:val="24"/>
          <w:szCs w:val="24"/>
        </w:rPr>
        <w:t xml:space="preserve">Partner </w:t>
      </w:r>
      <w:r w:rsidRPr="00D11FA2">
        <w:rPr>
          <w:rFonts w:ascii="Times New Roman" w:hAnsi="Times New Roman" w:cs="Times New Roman"/>
          <w:sz w:val="24"/>
          <w:szCs w:val="24"/>
        </w:rPr>
        <w:t>countries define their needs on a voluntary basis with the help of a needs assessment toolkit and develop national action plans</w:t>
      </w:r>
      <w:r w:rsidRPr="00073A51">
        <w:rPr>
          <w:rFonts w:ascii="Times New Roman" w:hAnsi="Times New Roman" w:cs="Times New Roman"/>
          <w:sz w:val="24"/>
          <w:szCs w:val="24"/>
        </w:rPr>
        <w:t xml:space="preserve"> </w:t>
      </w:r>
      <w:r w:rsidRPr="002074B2">
        <w:rPr>
          <w:rFonts w:ascii="Times New Roman" w:hAnsi="Times New Roman" w:cs="Times New Roman"/>
          <w:sz w:val="24"/>
          <w:szCs w:val="24"/>
        </w:rPr>
        <w:t xml:space="preserve">in which they prioritize their needs. There are currently 27 completed and 18 on-going </w:t>
      </w:r>
      <w:r w:rsidRPr="00374B0C">
        <w:rPr>
          <w:rFonts w:ascii="Times New Roman" w:hAnsi="Times New Roman" w:cs="Times New Roman"/>
          <w:sz w:val="24"/>
          <w:szCs w:val="24"/>
        </w:rPr>
        <w:t>projects.</w:t>
      </w:r>
    </w:p>
    <w:p w:rsidR="005F7F0D" w:rsidRPr="00D11FA2" w:rsidRDefault="007B3852" w:rsidP="005F7F0D">
      <w:pPr>
        <w:rPr>
          <w:rFonts w:ascii="Times New Roman" w:hAnsi="Times New Roman" w:cs="Times New Roman"/>
          <w:b/>
          <w:i/>
          <w:sz w:val="24"/>
          <w:szCs w:val="24"/>
          <w:u w:val="single"/>
        </w:rPr>
      </w:pPr>
      <w:r>
        <w:rPr>
          <w:rFonts w:ascii="Times New Roman" w:hAnsi="Times New Roman" w:cs="Times New Roman"/>
          <w:sz w:val="24"/>
          <w:szCs w:val="24"/>
        </w:rPr>
        <w:t>This</w:t>
      </w:r>
      <w:r w:rsidR="005F7F0D" w:rsidRPr="00D11FA2">
        <w:rPr>
          <w:rFonts w:ascii="Times New Roman" w:hAnsi="Times New Roman" w:cs="Times New Roman"/>
          <w:sz w:val="24"/>
          <w:szCs w:val="24"/>
        </w:rPr>
        <w:t xml:space="preserve"> methodology </w:t>
      </w:r>
      <w:r>
        <w:rPr>
          <w:rFonts w:ascii="Times New Roman" w:hAnsi="Times New Roman" w:cs="Times New Roman"/>
          <w:sz w:val="24"/>
          <w:szCs w:val="24"/>
        </w:rPr>
        <w:t>has been</w:t>
      </w:r>
      <w:r w:rsidRPr="00D11FA2">
        <w:rPr>
          <w:rFonts w:ascii="Times New Roman" w:hAnsi="Times New Roman" w:cs="Times New Roman"/>
          <w:sz w:val="24"/>
          <w:szCs w:val="24"/>
        </w:rPr>
        <w:t xml:space="preserve"> </w:t>
      </w:r>
      <w:r w:rsidR="005F7F0D" w:rsidRPr="00D11FA2">
        <w:rPr>
          <w:rFonts w:ascii="Times New Roman" w:hAnsi="Times New Roman" w:cs="Times New Roman"/>
          <w:sz w:val="24"/>
          <w:szCs w:val="24"/>
        </w:rPr>
        <w:t>well</w:t>
      </w:r>
      <w:r>
        <w:rPr>
          <w:rFonts w:ascii="Times New Roman" w:hAnsi="Times New Roman" w:cs="Times New Roman"/>
          <w:sz w:val="24"/>
          <w:szCs w:val="24"/>
        </w:rPr>
        <w:t xml:space="preserve"> </w:t>
      </w:r>
      <w:r w:rsidR="003B1D8B" w:rsidRPr="00D11FA2">
        <w:rPr>
          <w:rFonts w:ascii="Times New Roman" w:hAnsi="Times New Roman" w:cs="Times New Roman"/>
          <w:sz w:val="24"/>
          <w:szCs w:val="24"/>
        </w:rPr>
        <w:t>tested</w:t>
      </w:r>
      <w:r w:rsidR="003B1D8B">
        <w:rPr>
          <w:rFonts w:ascii="Times New Roman" w:hAnsi="Times New Roman" w:cs="Times New Roman"/>
          <w:sz w:val="24"/>
          <w:szCs w:val="24"/>
        </w:rPr>
        <w:t xml:space="preserve"> but</w:t>
      </w:r>
      <w:r w:rsidR="005F7F0D" w:rsidRPr="00D11FA2">
        <w:rPr>
          <w:rFonts w:ascii="Times New Roman" w:hAnsi="Times New Roman" w:cs="Times New Roman"/>
          <w:sz w:val="24"/>
          <w:szCs w:val="24"/>
        </w:rPr>
        <w:t xml:space="preserve"> has taken longer than expected in organising structures in partner countries. This is due to political circumstances, the varying extent of high-level national support, the heterogeneous nature of the partner countries, the </w:t>
      </w:r>
      <w:r>
        <w:rPr>
          <w:rFonts w:ascii="Times New Roman" w:hAnsi="Times New Roman" w:cs="Times New Roman"/>
          <w:sz w:val="24"/>
          <w:szCs w:val="24"/>
        </w:rPr>
        <w:t>limited</w:t>
      </w:r>
      <w:r w:rsidR="005F7F0D" w:rsidRPr="00D11FA2">
        <w:rPr>
          <w:rFonts w:ascii="Times New Roman" w:hAnsi="Times New Roman" w:cs="Times New Roman"/>
          <w:sz w:val="24"/>
          <w:szCs w:val="24"/>
        </w:rPr>
        <w:t xml:space="preserve"> previous experience in the area of CBRN risk mitigation and the extent to which the relevant structures (national teams for instance) </w:t>
      </w:r>
      <w:r>
        <w:rPr>
          <w:rFonts w:ascii="Times New Roman" w:hAnsi="Times New Roman" w:cs="Times New Roman"/>
          <w:sz w:val="24"/>
          <w:szCs w:val="24"/>
        </w:rPr>
        <w:t>had</w:t>
      </w:r>
      <w:r w:rsidR="005F7F0D" w:rsidRPr="00D11FA2">
        <w:rPr>
          <w:rFonts w:ascii="Times New Roman" w:hAnsi="Times New Roman" w:cs="Times New Roman"/>
          <w:sz w:val="24"/>
          <w:szCs w:val="24"/>
        </w:rPr>
        <w:t xml:space="preserve"> been established.</w:t>
      </w:r>
      <w:r w:rsidR="005F7F0D" w:rsidRPr="00D11FA2">
        <w:rPr>
          <w:rFonts w:ascii="Times New Roman" w:hAnsi="Times New Roman" w:cs="Times New Roman"/>
          <w:sz w:val="24"/>
          <w:szCs w:val="24"/>
          <w:vertAlign w:val="superscript"/>
        </w:rPr>
        <w:footnoteReference w:id="30"/>
      </w:r>
      <w:r w:rsidR="005F7F0D" w:rsidRPr="00D11FA2">
        <w:rPr>
          <w:rFonts w:ascii="Times New Roman" w:hAnsi="Times New Roman" w:cs="Times New Roman"/>
          <w:sz w:val="24"/>
          <w:szCs w:val="24"/>
        </w:rPr>
        <w:t xml:space="preserve"> </w:t>
      </w:r>
    </w:p>
    <w:p w:rsidR="005F7F0D" w:rsidRPr="00D11FA2" w:rsidRDefault="005F7F0D" w:rsidP="005F7F0D">
      <w:pPr>
        <w:pStyle w:val="Heading2"/>
      </w:pPr>
      <w:bookmarkStart w:id="10" w:name="_Toc511640364"/>
      <w:r w:rsidRPr="00D11FA2">
        <w:t xml:space="preserve">Other </w:t>
      </w:r>
      <w:r w:rsidRPr="00073A51">
        <w:t>voluntary</w:t>
      </w:r>
      <w:r w:rsidRPr="00D11FA2">
        <w:t xml:space="preserve"> cooperation and engagement models</w:t>
      </w:r>
      <w:bookmarkEnd w:id="10"/>
    </w:p>
    <w:p w:rsidR="005F7F0D" w:rsidRPr="00073A51" w:rsidRDefault="005F7F0D" w:rsidP="005F7F0D">
      <w:pPr>
        <w:rPr>
          <w:rFonts w:ascii="Times New Roman" w:hAnsi="Times New Roman" w:cs="Times New Roman"/>
          <w:sz w:val="24"/>
          <w:szCs w:val="24"/>
        </w:rPr>
      </w:pPr>
      <w:r w:rsidRPr="00073A51">
        <w:rPr>
          <w:rFonts w:ascii="Times New Roman" w:hAnsi="Times New Roman" w:cs="Times New Roman"/>
          <w:sz w:val="24"/>
          <w:szCs w:val="24"/>
        </w:rPr>
        <w:t xml:space="preserve">In 2009, </w:t>
      </w:r>
      <w:r w:rsidR="002074B2">
        <w:rPr>
          <w:rFonts w:ascii="Times New Roman" w:hAnsi="Times New Roman" w:cs="Times New Roman"/>
          <w:sz w:val="24"/>
          <w:szCs w:val="24"/>
        </w:rPr>
        <w:t xml:space="preserve">the </w:t>
      </w:r>
      <w:r w:rsidRPr="00D11FA2">
        <w:rPr>
          <w:rFonts w:ascii="Times New Roman" w:hAnsi="Times New Roman" w:cs="Times New Roman"/>
          <w:sz w:val="24"/>
          <w:szCs w:val="24"/>
        </w:rPr>
        <w:t>EU's new Lines for Action</w:t>
      </w:r>
      <w:r w:rsidR="002074B2">
        <w:rPr>
          <w:rFonts w:ascii="Times New Roman" w:hAnsi="Times New Roman" w:cs="Times New Roman"/>
          <w:sz w:val="24"/>
          <w:szCs w:val="24"/>
        </w:rPr>
        <w:t xml:space="preserve"> were adopted in line with action taken through the G8. These</w:t>
      </w:r>
      <w:r w:rsidRPr="00073A51">
        <w:rPr>
          <w:rFonts w:ascii="Times New Roman" w:hAnsi="Times New Roman" w:cs="Times New Roman"/>
          <w:sz w:val="24"/>
          <w:szCs w:val="24"/>
        </w:rPr>
        <w:t xml:space="preserve"> focused on contain</w:t>
      </w:r>
      <w:r w:rsidRPr="00D11FA2">
        <w:rPr>
          <w:rFonts w:ascii="Times New Roman" w:hAnsi="Times New Roman" w:cs="Times New Roman"/>
          <w:sz w:val="24"/>
          <w:szCs w:val="24"/>
        </w:rPr>
        <w:t>ing sensitive knowledge and know-how</w:t>
      </w:r>
      <w:r w:rsidRPr="00073A51">
        <w:rPr>
          <w:rFonts w:ascii="Times New Roman" w:hAnsi="Times New Roman" w:cs="Times New Roman"/>
          <w:sz w:val="24"/>
          <w:szCs w:val="24"/>
        </w:rPr>
        <w:t>.</w:t>
      </w:r>
      <w:r w:rsidRPr="00D11FA2">
        <w:rPr>
          <w:rStyle w:val="FootnoteReference"/>
          <w:rFonts w:ascii="Times New Roman" w:hAnsi="Times New Roman" w:cs="Times New Roman"/>
        </w:rPr>
        <w:footnoteReference w:id="31"/>
      </w:r>
      <w:r w:rsidRPr="00073A51">
        <w:rPr>
          <w:rFonts w:ascii="Times New Roman" w:hAnsi="Times New Roman" w:cs="Times New Roman"/>
          <w:sz w:val="24"/>
          <w:szCs w:val="24"/>
        </w:rPr>
        <w:t xml:space="preserve"> </w:t>
      </w:r>
      <w:r w:rsidR="002D3AA6">
        <w:rPr>
          <w:rFonts w:ascii="Times New Roman" w:hAnsi="Times New Roman" w:cs="Times New Roman"/>
          <w:sz w:val="24"/>
          <w:szCs w:val="24"/>
        </w:rPr>
        <w:t>They were</w:t>
      </w:r>
      <w:r w:rsidRPr="00073A51">
        <w:rPr>
          <w:rFonts w:ascii="Times New Roman" w:hAnsi="Times New Roman" w:cs="Times New Roman"/>
          <w:sz w:val="24"/>
          <w:szCs w:val="24"/>
        </w:rPr>
        <w:t xml:space="preserve"> later reinforced by the EU in 2013.</w:t>
      </w:r>
      <w:r w:rsidRPr="00073A51">
        <w:rPr>
          <w:rStyle w:val="FootnoteReference"/>
          <w:rFonts w:ascii="Times New Roman" w:hAnsi="Times New Roman" w:cs="Times New Roman"/>
        </w:rPr>
        <w:footnoteReference w:id="32"/>
      </w:r>
      <w:r w:rsidRPr="00073A51">
        <w:rPr>
          <w:rFonts w:ascii="Times New Roman" w:hAnsi="Times New Roman" w:cs="Times New Roman"/>
          <w:sz w:val="24"/>
          <w:szCs w:val="24"/>
        </w:rPr>
        <w:t xml:space="preserve">  Th</w:t>
      </w:r>
      <w:r w:rsidR="002D3AA6">
        <w:rPr>
          <w:rFonts w:ascii="Times New Roman" w:hAnsi="Times New Roman" w:cs="Times New Roman"/>
          <w:sz w:val="24"/>
          <w:szCs w:val="24"/>
        </w:rPr>
        <w:t>es</w:t>
      </w:r>
      <w:r w:rsidRPr="00073A51">
        <w:rPr>
          <w:rFonts w:ascii="Times New Roman" w:hAnsi="Times New Roman" w:cs="Times New Roman"/>
          <w:sz w:val="24"/>
          <w:szCs w:val="24"/>
        </w:rPr>
        <w:t xml:space="preserve">e </w:t>
      </w:r>
      <w:r w:rsidR="002D3AA6">
        <w:rPr>
          <w:rFonts w:ascii="Times New Roman" w:hAnsi="Times New Roman" w:cs="Times New Roman"/>
          <w:sz w:val="24"/>
          <w:szCs w:val="24"/>
        </w:rPr>
        <w:t>N</w:t>
      </w:r>
      <w:r w:rsidRPr="00073A51">
        <w:rPr>
          <w:rFonts w:ascii="Times New Roman" w:hAnsi="Times New Roman" w:cs="Times New Roman"/>
          <w:sz w:val="24"/>
          <w:szCs w:val="24"/>
        </w:rPr>
        <w:t xml:space="preserve">ew </w:t>
      </w:r>
      <w:r w:rsidR="002D3AA6">
        <w:rPr>
          <w:rFonts w:ascii="Times New Roman" w:hAnsi="Times New Roman" w:cs="Times New Roman"/>
          <w:sz w:val="24"/>
          <w:szCs w:val="24"/>
        </w:rPr>
        <w:t>L</w:t>
      </w:r>
      <w:r w:rsidRPr="00073A51">
        <w:rPr>
          <w:rFonts w:ascii="Times New Roman" w:hAnsi="Times New Roman" w:cs="Times New Roman"/>
          <w:sz w:val="24"/>
          <w:szCs w:val="24"/>
        </w:rPr>
        <w:t xml:space="preserve">ines of </w:t>
      </w:r>
      <w:r w:rsidR="002D3AA6">
        <w:rPr>
          <w:rFonts w:ascii="Times New Roman" w:hAnsi="Times New Roman" w:cs="Times New Roman"/>
          <w:sz w:val="24"/>
          <w:szCs w:val="24"/>
        </w:rPr>
        <w:t>A</w:t>
      </w:r>
      <w:r w:rsidRPr="00073A51">
        <w:rPr>
          <w:rFonts w:ascii="Times New Roman" w:hAnsi="Times New Roman" w:cs="Times New Roman"/>
          <w:sz w:val="24"/>
          <w:szCs w:val="24"/>
        </w:rPr>
        <w:t>ction</w:t>
      </w:r>
      <w:r w:rsidRPr="00D11FA2">
        <w:rPr>
          <w:rFonts w:ascii="Times New Roman" w:hAnsi="Times New Roman" w:cs="Times New Roman"/>
          <w:sz w:val="24"/>
          <w:szCs w:val="24"/>
        </w:rPr>
        <w:t xml:space="preserve"> called for protection of scientific and technical assets related to scientific activities of a sensitive nature</w:t>
      </w:r>
      <w:r w:rsidR="002D3AA6">
        <w:rPr>
          <w:rFonts w:ascii="Times New Roman" w:hAnsi="Times New Roman" w:cs="Times New Roman"/>
          <w:sz w:val="24"/>
          <w:szCs w:val="24"/>
        </w:rPr>
        <w:t xml:space="preserve">, and for </w:t>
      </w:r>
      <w:r w:rsidRPr="00D11FA2">
        <w:rPr>
          <w:rFonts w:ascii="Times New Roman" w:hAnsi="Times New Roman" w:cs="Times New Roman"/>
          <w:sz w:val="24"/>
          <w:szCs w:val="24"/>
        </w:rPr>
        <w:t xml:space="preserve">academic and scientific circles to be better informed </w:t>
      </w:r>
      <w:r w:rsidR="002D3AA6">
        <w:rPr>
          <w:rFonts w:ascii="Times New Roman" w:hAnsi="Times New Roman" w:cs="Times New Roman"/>
          <w:sz w:val="24"/>
          <w:szCs w:val="24"/>
        </w:rPr>
        <w:t>about</w:t>
      </w:r>
      <w:r w:rsidR="002D3AA6"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non-proliferation issues in general and </w:t>
      </w:r>
      <w:r w:rsidR="002D3AA6">
        <w:rPr>
          <w:rFonts w:ascii="Times New Roman" w:hAnsi="Times New Roman" w:cs="Times New Roman"/>
          <w:sz w:val="24"/>
          <w:szCs w:val="24"/>
        </w:rPr>
        <w:t xml:space="preserve">in particular </w:t>
      </w:r>
      <w:r w:rsidRPr="00D11FA2">
        <w:rPr>
          <w:rFonts w:ascii="Times New Roman" w:hAnsi="Times New Roman" w:cs="Times New Roman"/>
          <w:sz w:val="24"/>
          <w:szCs w:val="24"/>
        </w:rPr>
        <w:t xml:space="preserve">the potential risks related to their activities. A number of measures </w:t>
      </w:r>
      <w:r w:rsidR="002D3AA6">
        <w:rPr>
          <w:rFonts w:ascii="Times New Roman" w:hAnsi="Times New Roman" w:cs="Times New Roman"/>
          <w:sz w:val="24"/>
          <w:szCs w:val="24"/>
        </w:rPr>
        <w:t>were</w:t>
      </w:r>
      <w:r w:rsidR="002D3AA6" w:rsidRPr="00D11FA2">
        <w:rPr>
          <w:rFonts w:ascii="Times New Roman" w:hAnsi="Times New Roman" w:cs="Times New Roman"/>
          <w:sz w:val="24"/>
          <w:szCs w:val="24"/>
        </w:rPr>
        <w:t xml:space="preserve"> </w:t>
      </w:r>
      <w:r w:rsidRPr="00D11FA2">
        <w:rPr>
          <w:rFonts w:ascii="Times New Roman" w:hAnsi="Times New Roman" w:cs="Times New Roman"/>
          <w:sz w:val="24"/>
          <w:szCs w:val="24"/>
        </w:rPr>
        <w:t>suggested</w:t>
      </w:r>
      <w:r w:rsidR="002D3AA6">
        <w:rPr>
          <w:rFonts w:ascii="Times New Roman" w:hAnsi="Times New Roman" w:cs="Times New Roman"/>
          <w:sz w:val="24"/>
          <w:szCs w:val="24"/>
        </w:rPr>
        <w:t>,</w:t>
      </w:r>
      <w:r w:rsidRPr="00D11FA2">
        <w:rPr>
          <w:rFonts w:ascii="Times New Roman" w:hAnsi="Times New Roman" w:cs="Times New Roman"/>
          <w:sz w:val="24"/>
          <w:szCs w:val="24"/>
        </w:rPr>
        <w:t xml:space="preserve"> such as enhanced exchanges between universities, laboratories and Member States’ relevant authorities. The adoption of codes of professional conduct, the introduction of voluntary safety and security standards, a greater role for academia as well as other actions to promote a culture of responsibility in dealing with safety and security issues were recommended. Development of guidelines, sharing of best practices and enhanced communication efforts and outreach</w:t>
      </w:r>
      <w:r w:rsidRPr="00073A51">
        <w:rPr>
          <w:rFonts w:ascii="Times New Roman" w:hAnsi="Times New Roman" w:cs="Times New Roman"/>
          <w:sz w:val="24"/>
          <w:szCs w:val="24"/>
        </w:rPr>
        <w:t xml:space="preserve"> are also seen as important</w:t>
      </w:r>
      <w:r w:rsidRPr="00D11FA2">
        <w:rPr>
          <w:rFonts w:ascii="Times New Roman" w:hAnsi="Times New Roman" w:cs="Times New Roman"/>
          <w:sz w:val="24"/>
          <w:szCs w:val="24"/>
        </w:rPr>
        <w:t>.</w:t>
      </w:r>
      <w:r w:rsidRPr="00073A51">
        <w:rPr>
          <w:rFonts w:ascii="Times New Roman" w:hAnsi="Times New Roman" w:cs="Times New Roman"/>
          <w:sz w:val="24"/>
          <w:szCs w:val="24"/>
        </w:rPr>
        <w:t xml:space="preserve"> </w:t>
      </w:r>
    </w:p>
    <w:p w:rsidR="005F7F0D" w:rsidRPr="00073A51" w:rsidRDefault="002D3AA6" w:rsidP="005F7F0D">
      <w:pPr>
        <w:rPr>
          <w:rFonts w:ascii="Times New Roman" w:hAnsi="Times New Roman" w:cs="Times New Roman"/>
          <w:sz w:val="24"/>
          <w:szCs w:val="24"/>
        </w:rPr>
      </w:pPr>
      <w:r>
        <w:rPr>
          <w:rFonts w:ascii="Times New Roman" w:hAnsi="Times New Roman" w:cs="Times New Roman"/>
          <w:sz w:val="24"/>
          <w:szCs w:val="24"/>
        </w:rPr>
        <w:t>T</w:t>
      </w:r>
      <w:r w:rsidR="005F7F0D" w:rsidRPr="00D11FA2">
        <w:rPr>
          <w:rFonts w:ascii="Times New Roman" w:hAnsi="Times New Roman" w:cs="Times New Roman"/>
          <w:sz w:val="24"/>
          <w:szCs w:val="24"/>
        </w:rPr>
        <w:t xml:space="preserve">he importance of such tools </w:t>
      </w:r>
      <w:r>
        <w:rPr>
          <w:rFonts w:ascii="Times New Roman" w:hAnsi="Times New Roman" w:cs="Times New Roman"/>
          <w:sz w:val="24"/>
          <w:szCs w:val="24"/>
        </w:rPr>
        <w:t>has been</w:t>
      </w:r>
      <w:r w:rsidRPr="00D11FA2">
        <w:rPr>
          <w:rFonts w:ascii="Times New Roman" w:hAnsi="Times New Roman" w:cs="Times New Roman"/>
          <w:sz w:val="24"/>
          <w:szCs w:val="24"/>
        </w:rPr>
        <w:t xml:space="preserve"> </w:t>
      </w:r>
      <w:r w:rsidR="005F7F0D" w:rsidRPr="00D11FA2">
        <w:rPr>
          <w:rFonts w:ascii="Times New Roman" w:hAnsi="Times New Roman" w:cs="Times New Roman"/>
          <w:sz w:val="24"/>
          <w:szCs w:val="24"/>
        </w:rPr>
        <w:t>stressed</w:t>
      </w:r>
      <w:r>
        <w:rPr>
          <w:rFonts w:ascii="Times New Roman" w:hAnsi="Times New Roman" w:cs="Times New Roman"/>
          <w:sz w:val="24"/>
          <w:szCs w:val="24"/>
        </w:rPr>
        <w:t xml:space="preserve"> in other fora as well</w:t>
      </w:r>
      <w:r w:rsidR="005F7F0D" w:rsidRPr="00D11FA2">
        <w:rPr>
          <w:rFonts w:ascii="Times New Roman" w:hAnsi="Times New Roman" w:cs="Times New Roman"/>
          <w:sz w:val="24"/>
          <w:szCs w:val="24"/>
        </w:rPr>
        <w:t>. For example, during a conference discussing 10 years of implementation of UNSCR 1540, the usefulness of self-governance and</w:t>
      </w:r>
      <w:r>
        <w:rPr>
          <w:rFonts w:ascii="Times New Roman" w:hAnsi="Times New Roman" w:cs="Times New Roman"/>
          <w:sz w:val="24"/>
          <w:szCs w:val="24"/>
        </w:rPr>
        <w:t xml:space="preserve"> the adoption of</w:t>
      </w:r>
      <w:r w:rsidR="005F7F0D" w:rsidRPr="00D11FA2">
        <w:rPr>
          <w:rFonts w:ascii="Times New Roman" w:hAnsi="Times New Roman" w:cs="Times New Roman"/>
          <w:sz w:val="24"/>
          <w:szCs w:val="24"/>
        </w:rPr>
        <w:t xml:space="preserve"> </w:t>
      </w:r>
      <w:r>
        <w:rPr>
          <w:rFonts w:ascii="Times New Roman" w:hAnsi="Times New Roman" w:cs="Times New Roman"/>
          <w:sz w:val="24"/>
          <w:szCs w:val="24"/>
        </w:rPr>
        <w:t>c</w:t>
      </w:r>
      <w:r w:rsidR="005F7F0D" w:rsidRPr="00D11FA2">
        <w:rPr>
          <w:rFonts w:ascii="Times New Roman" w:hAnsi="Times New Roman" w:cs="Times New Roman"/>
          <w:sz w:val="24"/>
          <w:szCs w:val="24"/>
        </w:rPr>
        <w:t xml:space="preserve">odes of </w:t>
      </w:r>
      <w:r>
        <w:rPr>
          <w:rFonts w:ascii="Times New Roman" w:hAnsi="Times New Roman" w:cs="Times New Roman"/>
          <w:sz w:val="24"/>
          <w:szCs w:val="24"/>
        </w:rPr>
        <w:t>p</w:t>
      </w:r>
      <w:r w:rsidR="005F7F0D" w:rsidRPr="00D11FA2">
        <w:rPr>
          <w:rFonts w:ascii="Times New Roman" w:hAnsi="Times New Roman" w:cs="Times New Roman"/>
          <w:sz w:val="24"/>
          <w:szCs w:val="24"/>
        </w:rPr>
        <w:t xml:space="preserve">ractice by industry, scientific bodies and </w:t>
      </w:r>
      <w:r>
        <w:rPr>
          <w:rFonts w:ascii="Times New Roman" w:hAnsi="Times New Roman" w:cs="Times New Roman"/>
          <w:sz w:val="24"/>
          <w:szCs w:val="24"/>
        </w:rPr>
        <w:t>academia</w:t>
      </w:r>
      <w:r w:rsidR="005F7F0D" w:rsidRPr="00D11FA2">
        <w:rPr>
          <w:rFonts w:ascii="Times New Roman" w:hAnsi="Times New Roman" w:cs="Times New Roman"/>
          <w:sz w:val="24"/>
          <w:szCs w:val="24"/>
        </w:rPr>
        <w:t xml:space="preserve"> was recognised as a way of contributing to a number of objectives of </w:t>
      </w:r>
      <w:r>
        <w:rPr>
          <w:rFonts w:ascii="Times New Roman" w:hAnsi="Times New Roman" w:cs="Times New Roman"/>
          <w:sz w:val="24"/>
          <w:szCs w:val="24"/>
        </w:rPr>
        <w:t xml:space="preserve">resolution </w:t>
      </w:r>
      <w:r w:rsidR="005F7F0D" w:rsidRPr="00D11FA2">
        <w:rPr>
          <w:rFonts w:ascii="Times New Roman" w:hAnsi="Times New Roman" w:cs="Times New Roman"/>
          <w:sz w:val="24"/>
          <w:szCs w:val="24"/>
        </w:rPr>
        <w:t xml:space="preserve">1540. Codes of </w:t>
      </w:r>
      <w:r>
        <w:rPr>
          <w:rFonts w:ascii="Times New Roman" w:hAnsi="Times New Roman" w:cs="Times New Roman"/>
          <w:sz w:val="24"/>
          <w:szCs w:val="24"/>
        </w:rPr>
        <w:t>c</w:t>
      </w:r>
      <w:r w:rsidR="005F7F0D" w:rsidRPr="00D11FA2">
        <w:rPr>
          <w:rFonts w:ascii="Times New Roman" w:hAnsi="Times New Roman" w:cs="Times New Roman"/>
          <w:sz w:val="24"/>
          <w:szCs w:val="24"/>
        </w:rPr>
        <w:t>onduct should, where possible, be included in education curricula for relevant courses.</w:t>
      </w:r>
      <w:r w:rsidR="005F7F0D" w:rsidRPr="00073A51">
        <w:rPr>
          <w:rStyle w:val="FootnoteReference"/>
          <w:rFonts w:ascii="Times New Roman" w:hAnsi="Times New Roman" w:cs="Times New Roman"/>
        </w:rPr>
        <w:footnoteReference w:id="33"/>
      </w:r>
    </w:p>
    <w:p w:rsidR="005F7F0D" w:rsidRPr="00073A51"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More recently, </w:t>
      </w:r>
      <w:r w:rsidR="002D3AA6">
        <w:rPr>
          <w:rFonts w:ascii="Times New Roman" w:hAnsi="Times New Roman" w:cs="Times New Roman"/>
          <w:sz w:val="24"/>
          <w:szCs w:val="24"/>
        </w:rPr>
        <w:t xml:space="preserve">as noted above, a </w:t>
      </w:r>
      <w:r w:rsidRPr="00D11FA2">
        <w:rPr>
          <w:rFonts w:ascii="Times New Roman" w:hAnsi="Times New Roman" w:cs="Times New Roman"/>
          <w:sz w:val="24"/>
          <w:szCs w:val="24"/>
        </w:rPr>
        <w:t xml:space="preserve">group of </w:t>
      </w:r>
      <w:r w:rsidR="002D3AA6">
        <w:rPr>
          <w:rFonts w:ascii="Times New Roman" w:hAnsi="Times New Roman" w:cs="Times New Roman"/>
          <w:sz w:val="24"/>
          <w:szCs w:val="24"/>
        </w:rPr>
        <w:t>scientific experts, including</w:t>
      </w:r>
      <w:r w:rsidRPr="00D11FA2">
        <w:rPr>
          <w:rFonts w:ascii="Times New Roman" w:hAnsi="Times New Roman" w:cs="Times New Roman"/>
          <w:sz w:val="24"/>
          <w:szCs w:val="24"/>
        </w:rPr>
        <w:t xml:space="preserve"> researchers and academics</w:t>
      </w:r>
      <w:r w:rsidR="002D3AA6">
        <w:rPr>
          <w:rFonts w:ascii="Times New Roman" w:hAnsi="Times New Roman" w:cs="Times New Roman"/>
          <w:sz w:val="24"/>
          <w:szCs w:val="24"/>
        </w:rPr>
        <w:t>,</w:t>
      </w:r>
      <w:r w:rsidRPr="00D11FA2">
        <w:rPr>
          <w:rFonts w:ascii="Times New Roman" w:hAnsi="Times New Roman" w:cs="Times New Roman"/>
          <w:sz w:val="24"/>
          <w:szCs w:val="24"/>
        </w:rPr>
        <w:t xml:space="preserve"> proposed various ways to better forecast, prevent, and mitigate the threats as a result of potential malicious use of </w:t>
      </w:r>
      <w:r w:rsidR="002D3AA6">
        <w:rPr>
          <w:rFonts w:ascii="Times New Roman" w:hAnsi="Times New Roman" w:cs="Times New Roman"/>
          <w:sz w:val="24"/>
          <w:szCs w:val="24"/>
        </w:rPr>
        <w:t>AI</w:t>
      </w:r>
      <w:r w:rsidRPr="00D11FA2">
        <w:rPr>
          <w:rFonts w:ascii="Times New Roman" w:hAnsi="Times New Roman" w:cs="Times New Roman"/>
          <w:sz w:val="24"/>
          <w:szCs w:val="24"/>
        </w:rPr>
        <w:t xml:space="preserve"> technologies. They called for the promotion of a culture of responsibility</w:t>
      </w:r>
      <w:r w:rsidR="002D3AA6">
        <w:rPr>
          <w:rFonts w:ascii="Times New Roman" w:hAnsi="Times New Roman" w:cs="Times New Roman"/>
          <w:sz w:val="24"/>
          <w:szCs w:val="24"/>
        </w:rPr>
        <w:t>,</w:t>
      </w:r>
      <w:r w:rsidRPr="00D11FA2">
        <w:rPr>
          <w:rFonts w:ascii="Times New Roman" w:hAnsi="Times New Roman" w:cs="Times New Roman"/>
          <w:sz w:val="24"/>
          <w:szCs w:val="24"/>
        </w:rPr>
        <w:t xml:space="preserve"> highlighting the importance of education, ethical statements and standards, framings, norms and expectations.</w:t>
      </w:r>
      <w:r w:rsidRPr="00073A51">
        <w:rPr>
          <w:rStyle w:val="FootnoteReference"/>
          <w:rFonts w:ascii="Times New Roman" w:hAnsi="Times New Roman" w:cs="Times New Roman"/>
        </w:rPr>
        <w:footnoteReference w:id="34"/>
      </w:r>
    </w:p>
    <w:p w:rsidR="005F7F0D" w:rsidRPr="00073A51" w:rsidRDefault="005F7F0D" w:rsidP="005F7F0D">
      <w:pPr>
        <w:rPr>
          <w:rFonts w:ascii="Times New Roman" w:hAnsi="Times New Roman" w:cs="Times New Roman"/>
          <w:sz w:val="24"/>
          <w:szCs w:val="24"/>
        </w:rPr>
      </w:pPr>
      <w:r w:rsidRPr="00073A51">
        <w:rPr>
          <w:rFonts w:ascii="Times New Roman" w:hAnsi="Times New Roman" w:cs="Times New Roman"/>
          <w:sz w:val="24"/>
          <w:szCs w:val="24"/>
        </w:rPr>
        <w:lastRenderedPageBreak/>
        <w:t xml:space="preserve">The World Economic Forum Young Scientists Community – a group of leading researchers under the age of 40 from diverse fields and all regions of the world </w:t>
      </w:r>
      <w:r w:rsidRPr="00D11FA2">
        <w:rPr>
          <w:rFonts w:ascii="Times New Roman" w:hAnsi="Times New Roman" w:cs="Times New Roman"/>
          <w:sz w:val="24"/>
          <w:szCs w:val="24"/>
        </w:rPr>
        <w:t xml:space="preserve">– </w:t>
      </w:r>
      <w:r w:rsidRPr="00073A51">
        <w:rPr>
          <w:rFonts w:ascii="Times New Roman" w:hAnsi="Times New Roman" w:cs="Times New Roman"/>
          <w:sz w:val="24"/>
          <w:szCs w:val="24"/>
        </w:rPr>
        <w:t xml:space="preserve">came together to identify and reflect on </w:t>
      </w:r>
      <w:r w:rsidRPr="00D11FA2">
        <w:rPr>
          <w:rFonts w:ascii="Times New Roman" w:hAnsi="Times New Roman" w:cs="Times New Roman"/>
          <w:sz w:val="24"/>
          <w:szCs w:val="24"/>
        </w:rPr>
        <w:t>the cross-cutting ethical issues they are faced with. They developed a universal Code of Ethics</w:t>
      </w:r>
      <w:r w:rsidR="002D3AA6">
        <w:rPr>
          <w:rFonts w:ascii="Times New Roman" w:hAnsi="Times New Roman" w:cs="Times New Roman"/>
          <w:sz w:val="24"/>
          <w:szCs w:val="24"/>
        </w:rPr>
        <w:t xml:space="preserve"> intended to serve</w:t>
      </w:r>
      <w:r w:rsidRPr="00D11FA2">
        <w:rPr>
          <w:rFonts w:ascii="Times New Roman" w:hAnsi="Times New Roman" w:cs="Times New Roman"/>
          <w:sz w:val="24"/>
          <w:szCs w:val="24"/>
        </w:rPr>
        <w:t xml:space="preserve"> as a tool to nurture a positive change of culture in the research world by not only guiding and shaping the behaviour of individuals</w:t>
      </w:r>
      <w:r w:rsidR="002D3AA6">
        <w:rPr>
          <w:rFonts w:ascii="Times New Roman" w:hAnsi="Times New Roman" w:cs="Times New Roman"/>
          <w:sz w:val="24"/>
          <w:szCs w:val="24"/>
        </w:rPr>
        <w:t>,</w:t>
      </w:r>
      <w:r w:rsidRPr="00D11FA2">
        <w:rPr>
          <w:rFonts w:ascii="Times New Roman" w:hAnsi="Times New Roman" w:cs="Times New Roman"/>
          <w:sz w:val="24"/>
          <w:szCs w:val="24"/>
        </w:rPr>
        <w:t xml:space="preserve"> but also the processes of the scientific institutions that are to facilitate this cultural shift.</w:t>
      </w:r>
      <w:r w:rsidRPr="00D11FA2">
        <w:t xml:space="preserve"> </w:t>
      </w:r>
      <w:r w:rsidRPr="00D11FA2">
        <w:rPr>
          <w:rFonts w:ascii="Times New Roman" w:hAnsi="Times New Roman" w:cs="Times New Roman"/>
          <w:sz w:val="24"/>
          <w:szCs w:val="24"/>
        </w:rPr>
        <w:t xml:space="preserve">The </w:t>
      </w:r>
      <w:r w:rsidR="002D3AA6">
        <w:rPr>
          <w:rFonts w:ascii="Times New Roman" w:hAnsi="Times New Roman" w:cs="Times New Roman"/>
          <w:sz w:val="24"/>
          <w:szCs w:val="24"/>
        </w:rPr>
        <w:t>C</w:t>
      </w:r>
      <w:r w:rsidRPr="00D11FA2">
        <w:rPr>
          <w:rFonts w:ascii="Times New Roman" w:hAnsi="Times New Roman" w:cs="Times New Roman"/>
          <w:sz w:val="24"/>
          <w:szCs w:val="24"/>
        </w:rPr>
        <w:t>ode states</w:t>
      </w:r>
      <w:r w:rsidR="002D3AA6">
        <w:rPr>
          <w:rFonts w:ascii="Times New Roman" w:hAnsi="Times New Roman" w:cs="Times New Roman"/>
          <w:sz w:val="24"/>
          <w:szCs w:val="24"/>
        </w:rPr>
        <w:t>,</w:t>
      </w:r>
      <w:r w:rsidRPr="00D11FA2">
        <w:rPr>
          <w:rFonts w:ascii="Times New Roman" w:hAnsi="Times New Roman" w:cs="Times New Roman"/>
          <w:sz w:val="24"/>
          <w:szCs w:val="24"/>
        </w:rPr>
        <w:t xml:space="preserve"> inter alia</w:t>
      </w:r>
      <w:r w:rsidR="002D3AA6">
        <w:rPr>
          <w:rFonts w:ascii="Times New Roman" w:hAnsi="Times New Roman" w:cs="Times New Roman"/>
          <w:sz w:val="24"/>
          <w:szCs w:val="24"/>
        </w:rPr>
        <w:t>,</w:t>
      </w:r>
      <w:r w:rsidRPr="00D11FA2">
        <w:rPr>
          <w:rFonts w:ascii="Times New Roman" w:hAnsi="Times New Roman" w:cs="Times New Roman"/>
          <w:sz w:val="24"/>
          <w:szCs w:val="24"/>
        </w:rPr>
        <w:t xml:space="preserve"> that “</w:t>
      </w:r>
      <w:r w:rsidR="002D3AA6">
        <w:rPr>
          <w:rFonts w:ascii="Times New Roman" w:hAnsi="Times New Roman" w:cs="Times New Roman"/>
          <w:sz w:val="24"/>
          <w:szCs w:val="24"/>
        </w:rPr>
        <w:t>[e]</w:t>
      </w:r>
      <w:r w:rsidRPr="00D11FA2">
        <w:rPr>
          <w:rFonts w:ascii="Times New Roman" w:hAnsi="Times New Roman" w:cs="Times New Roman"/>
          <w:sz w:val="24"/>
          <w:szCs w:val="24"/>
        </w:rPr>
        <w:t>very researcher must consider each experiment’s potential to cause harm and evaluate whether the generated knowledge can be detrimental to society.”</w:t>
      </w:r>
      <w:r w:rsidRPr="00073A51">
        <w:rPr>
          <w:rStyle w:val="FootnoteReference"/>
          <w:rFonts w:ascii="Times New Roman" w:hAnsi="Times New Roman" w:cs="Times New Roman"/>
        </w:rPr>
        <w:footnoteReference w:id="35"/>
      </w:r>
    </w:p>
    <w:p w:rsidR="002D3AA6" w:rsidRDefault="002D3AA6" w:rsidP="005F7F0D">
      <w:pPr>
        <w:rPr>
          <w:rFonts w:ascii="Times New Roman" w:hAnsi="Times New Roman" w:cs="Times New Roman"/>
          <w:sz w:val="24"/>
          <w:szCs w:val="24"/>
        </w:rPr>
      </w:pPr>
      <w:r>
        <w:rPr>
          <w:rFonts w:ascii="Times New Roman" w:hAnsi="Times New Roman" w:cs="Times New Roman"/>
          <w:sz w:val="24"/>
          <w:szCs w:val="24"/>
        </w:rPr>
        <w:t>While this is not an exhaustive description of</w:t>
      </w:r>
      <w:r w:rsidR="005F7F0D" w:rsidRPr="00073A51">
        <w:rPr>
          <w:rFonts w:ascii="Times New Roman" w:hAnsi="Times New Roman" w:cs="Times New Roman"/>
          <w:sz w:val="24"/>
          <w:szCs w:val="24"/>
        </w:rPr>
        <w:t xml:space="preserve"> the state of implementation of these kind</w:t>
      </w:r>
      <w:r>
        <w:rPr>
          <w:rFonts w:ascii="Times New Roman" w:hAnsi="Times New Roman" w:cs="Times New Roman"/>
          <w:sz w:val="24"/>
          <w:szCs w:val="24"/>
        </w:rPr>
        <w:t>s</w:t>
      </w:r>
      <w:r w:rsidR="005F7F0D" w:rsidRPr="00073A51">
        <w:rPr>
          <w:rFonts w:ascii="Times New Roman" w:hAnsi="Times New Roman" w:cs="Times New Roman"/>
          <w:sz w:val="24"/>
          <w:szCs w:val="24"/>
        </w:rPr>
        <w:t xml:space="preserve"> of voluntary measures</w:t>
      </w:r>
      <w:r w:rsidR="005F7F0D" w:rsidRPr="00D11FA2">
        <w:rPr>
          <w:rFonts w:ascii="Times New Roman" w:hAnsi="Times New Roman" w:cs="Times New Roman"/>
          <w:sz w:val="24"/>
          <w:szCs w:val="24"/>
        </w:rPr>
        <w:t>, several points are apparent</w:t>
      </w:r>
      <w:r>
        <w:rPr>
          <w:rFonts w:ascii="Times New Roman" w:hAnsi="Times New Roman" w:cs="Times New Roman"/>
          <w:sz w:val="24"/>
          <w:szCs w:val="24"/>
        </w:rPr>
        <w:t xml:space="preserve"> from similar examples</w:t>
      </w:r>
      <w:r w:rsidR="005F7F0D" w:rsidRPr="00D11FA2">
        <w:rPr>
          <w:rFonts w:ascii="Times New Roman" w:hAnsi="Times New Roman" w:cs="Times New Roman"/>
          <w:sz w:val="24"/>
          <w:szCs w:val="24"/>
        </w:rPr>
        <w:t xml:space="preserve">. </w:t>
      </w:r>
    </w:p>
    <w:p w:rsidR="002D3AA6"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First, a number of EU </w:t>
      </w:r>
      <w:r w:rsidR="002D3AA6">
        <w:rPr>
          <w:rFonts w:ascii="Times New Roman" w:hAnsi="Times New Roman" w:cs="Times New Roman"/>
          <w:sz w:val="24"/>
          <w:szCs w:val="24"/>
        </w:rPr>
        <w:t>M</w:t>
      </w:r>
      <w:r w:rsidRPr="00D11FA2">
        <w:rPr>
          <w:rFonts w:ascii="Times New Roman" w:hAnsi="Times New Roman" w:cs="Times New Roman"/>
          <w:sz w:val="24"/>
          <w:szCs w:val="24"/>
        </w:rPr>
        <w:t xml:space="preserve">ember </w:t>
      </w:r>
      <w:r w:rsidR="002D3AA6">
        <w:rPr>
          <w:rFonts w:ascii="Times New Roman" w:hAnsi="Times New Roman" w:cs="Times New Roman"/>
          <w:sz w:val="24"/>
          <w:szCs w:val="24"/>
        </w:rPr>
        <w:t>S</w:t>
      </w:r>
      <w:r w:rsidRPr="00D11FA2">
        <w:rPr>
          <w:rFonts w:ascii="Times New Roman" w:hAnsi="Times New Roman" w:cs="Times New Roman"/>
          <w:sz w:val="24"/>
          <w:szCs w:val="24"/>
        </w:rPr>
        <w:t xml:space="preserve">tates, such as Croatia, Germany, Hungary and the United Kingdom, have undertaken specific initiatives to reach out to academia. Compared to industry outreach, however, this type of stakeholder outreach is still in its initial stages and will require dedicated funding. </w:t>
      </w:r>
    </w:p>
    <w:p w:rsidR="002D3AA6"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Second, only a limited number of universities and research institutes in Europe have developed </w:t>
      </w:r>
      <w:r w:rsidR="002D3AA6">
        <w:rPr>
          <w:rFonts w:ascii="Times New Roman" w:hAnsi="Times New Roman" w:cs="Times New Roman"/>
          <w:sz w:val="24"/>
          <w:szCs w:val="24"/>
        </w:rPr>
        <w:t>i</w:t>
      </w:r>
      <w:r w:rsidRPr="00D11FA2">
        <w:rPr>
          <w:rFonts w:ascii="Times New Roman" w:hAnsi="Times New Roman" w:cs="Times New Roman"/>
          <w:sz w:val="24"/>
          <w:szCs w:val="24"/>
        </w:rPr>
        <w:t xml:space="preserve">nternal </w:t>
      </w:r>
      <w:r w:rsidR="002D3AA6">
        <w:rPr>
          <w:rFonts w:ascii="Times New Roman" w:hAnsi="Times New Roman" w:cs="Times New Roman"/>
          <w:sz w:val="24"/>
          <w:szCs w:val="24"/>
        </w:rPr>
        <w:t>c</w:t>
      </w:r>
      <w:r w:rsidRPr="00D11FA2">
        <w:rPr>
          <w:rFonts w:ascii="Times New Roman" w:hAnsi="Times New Roman" w:cs="Times New Roman"/>
          <w:sz w:val="24"/>
          <w:szCs w:val="24"/>
        </w:rPr>
        <w:t xml:space="preserve">ompliance </w:t>
      </w:r>
      <w:r w:rsidR="002D3AA6">
        <w:rPr>
          <w:rFonts w:ascii="Times New Roman" w:hAnsi="Times New Roman" w:cs="Times New Roman"/>
          <w:sz w:val="24"/>
          <w:szCs w:val="24"/>
        </w:rPr>
        <w:t>p</w:t>
      </w:r>
      <w:r w:rsidRPr="00D11FA2">
        <w:rPr>
          <w:rFonts w:ascii="Times New Roman" w:hAnsi="Times New Roman" w:cs="Times New Roman"/>
          <w:sz w:val="24"/>
          <w:szCs w:val="24"/>
        </w:rPr>
        <w:t>rogrammes (ICPs) or guidelines</w:t>
      </w:r>
      <w:r w:rsidR="002D3AA6">
        <w:rPr>
          <w:rFonts w:ascii="Times New Roman" w:hAnsi="Times New Roman" w:cs="Times New Roman"/>
          <w:sz w:val="24"/>
          <w:szCs w:val="24"/>
        </w:rPr>
        <w:t xml:space="preserve"> (e.g.,</w:t>
      </w:r>
      <w:r w:rsidRPr="00D11FA2">
        <w:rPr>
          <w:rFonts w:ascii="Times New Roman" w:hAnsi="Times New Roman" w:cs="Times New Roman"/>
          <w:sz w:val="24"/>
          <w:szCs w:val="24"/>
        </w:rPr>
        <w:t xml:space="preserve"> Cambridge University</w:t>
      </w:r>
      <w:r w:rsidR="002D3AA6">
        <w:rPr>
          <w:rFonts w:ascii="Times New Roman" w:hAnsi="Times New Roman" w:cs="Times New Roman"/>
          <w:sz w:val="24"/>
          <w:szCs w:val="24"/>
        </w:rPr>
        <w:t xml:space="preserve"> in the</w:t>
      </w:r>
      <w:r w:rsidRPr="00D11FA2">
        <w:rPr>
          <w:rFonts w:ascii="Times New Roman" w:hAnsi="Times New Roman" w:cs="Times New Roman"/>
          <w:sz w:val="24"/>
          <w:szCs w:val="24"/>
        </w:rPr>
        <w:t xml:space="preserve"> UK and the Leibnitz Institute</w:t>
      </w:r>
      <w:r w:rsidR="002D3AA6">
        <w:rPr>
          <w:rFonts w:ascii="Times New Roman" w:hAnsi="Times New Roman" w:cs="Times New Roman"/>
          <w:sz w:val="24"/>
          <w:szCs w:val="24"/>
        </w:rPr>
        <w:t xml:space="preserve"> in</w:t>
      </w:r>
      <w:r w:rsidRPr="00D11FA2">
        <w:rPr>
          <w:rFonts w:ascii="Times New Roman" w:hAnsi="Times New Roman" w:cs="Times New Roman"/>
          <w:sz w:val="24"/>
          <w:szCs w:val="24"/>
        </w:rPr>
        <w:t xml:space="preserve"> Germany</w:t>
      </w:r>
      <w:r w:rsidR="002D3AA6">
        <w:rPr>
          <w:rFonts w:ascii="Times New Roman" w:hAnsi="Times New Roman" w:cs="Times New Roman"/>
          <w:sz w:val="24"/>
          <w:szCs w:val="24"/>
        </w:rPr>
        <w:t>)</w:t>
      </w:r>
      <w:r w:rsidRPr="00D11FA2">
        <w:rPr>
          <w:rFonts w:ascii="Times New Roman" w:hAnsi="Times New Roman" w:cs="Times New Roman"/>
          <w:sz w:val="24"/>
          <w:szCs w:val="24"/>
        </w:rPr>
        <w:t>, although codes of conduct are being developed in a small number of research communities.</w:t>
      </w:r>
      <w:r w:rsidRPr="00073A51">
        <w:rPr>
          <w:rStyle w:val="FootnoteReference"/>
          <w:rFonts w:ascii="Times New Roman" w:hAnsi="Times New Roman" w:cs="Times New Roman"/>
        </w:rPr>
        <w:footnoteReference w:id="36"/>
      </w:r>
      <w:r w:rsidRPr="00073A51">
        <w:rPr>
          <w:rFonts w:ascii="Times New Roman" w:hAnsi="Times New Roman" w:cs="Times New Roman"/>
          <w:sz w:val="24"/>
          <w:szCs w:val="24"/>
        </w:rPr>
        <w:t xml:space="preserve"> </w:t>
      </w:r>
    </w:p>
    <w:p w:rsidR="00353A8B" w:rsidRDefault="005F7F0D" w:rsidP="005F7F0D">
      <w:pPr>
        <w:rPr>
          <w:rFonts w:ascii="Times New Roman" w:hAnsi="Times New Roman" w:cs="Times New Roman"/>
          <w:sz w:val="24"/>
          <w:szCs w:val="24"/>
        </w:rPr>
      </w:pPr>
      <w:r w:rsidRPr="00073A51">
        <w:rPr>
          <w:rFonts w:ascii="Times New Roman" w:hAnsi="Times New Roman" w:cs="Times New Roman"/>
          <w:sz w:val="24"/>
          <w:szCs w:val="24"/>
        </w:rPr>
        <w:t xml:space="preserve">Third, </w:t>
      </w:r>
      <w:r w:rsidRPr="00D11FA2">
        <w:rPr>
          <w:rFonts w:ascii="Times New Roman" w:hAnsi="Times New Roman" w:cs="Times New Roman"/>
          <w:sz w:val="24"/>
          <w:szCs w:val="24"/>
        </w:rPr>
        <w:t xml:space="preserve">a number of </w:t>
      </w:r>
      <w:r w:rsidR="002D3AA6">
        <w:rPr>
          <w:rFonts w:ascii="Times New Roman" w:hAnsi="Times New Roman" w:cs="Times New Roman"/>
          <w:sz w:val="24"/>
          <w:szCs w:val="24"/>
        </w:rPr>
        <w:t>s</w:t>
      </w:r>
      <w:r w:rsidRPr="00D11FA2">
        <w:rPr>
          <w:rFonts w:ascii="Times New Roman" w:hAnsi="Times New Roman" w:cs="Times New Roman"/>
          <w:sz w:val="24"/>
          <w:szCs w:val="24"/>
        </w:rPr>
        <w:t xml:space="preserve">cientific </w:t>
      </w:r>
      <w:r w:rsidR="002D3AA6">
        <w:rPr>
          <w:rFonts w:ascii="Times New Roman" w:hAnsi="Times New Roman" w:cs="Times New Roman"/>
          <w:sz w:val="24"/>
          <w:szCs w:val="24"/>
        </w:rPr>
        <w:t>a</w:t>
      </w:r>
      <w:r w:rsidRPr="00D11FA2">
        <w:rPr>
          <w:rFonts w:ascii="Times New Roman" w:hAnsi="Times New Roman" w:cs="Times New Roman"/>
          <w:sz w:val="24"/>
          <w:szCs w:val="24"/>
        </w:rPr>
        <w:t>ssociations have proposed codes of conduct for biosecurity.</w:t>
      </w:r>
      <w:r w:rsidRPr="00073A51">
        <w:rPr>
          <w:rFonts w:ascii="Times New Roman" w:hAnsi="Times New Roman" w:cs="Times New Roman"/>
          <w:sz w:val="24"/>
          <w:szCs w:val="24"/>
        </w:rPr>
        <w:t xml:space="preserve"> </w:t>
      </w:r>
      <w:r w:rsidR="00374B0C">
        <w:rPr>
          <w:rFonts w:ascii="Times New Roman" w:hAnsi="Times New Roman" w:cs="Times New Roman"/>
          <w:sz w:val="24"/>
          <w:szCs w:val="24"/>
        </w:rPr>
        <w:t xml:space="preserve">As </w:t>
      </w:r>
      <w:proofErr w:type="spellStart"/>
      <w:r w:rsidR="00374B0C" w:rsidRPr="00374B0C">
        <w:rPr>
          <w:rFonts w:ascii="Times New Roman" w:hAnsi="Times New Roman" w:cs="Times New Roman"/>
          <w:sz w:val="24"/>
          <w:szCs w:val="24"/>
        </w:rPr>
        <w:t>Espona</w:t>
      </w:r>
      <w:proofErr w:type="spellEnd"/>
      <w:r w:rsidR="00374B0C" w:rsidRPr="00374B0C">
        <w:rPr>
          <w:rFonts w:ascii="Times New Roman" w:hAnsi="Times New Roman" w:cs="Times New Roman"/>
          <w:sz w:val="24"/>
          <w:szCs w:val="24"/>
        </w:rPr>
        <w:t xml:space="preserve"> </w:t>
      </w:r>
      <w:r w:rsidR="00374B0C">
        <w:rPr>
          <w:rFonts w:ascii="Times New Roman" w:hAnsi="Times New Roman" w:cs="Times New Roman"/>
          <w:sz w:val="24"/>
          <w:szCs w:val="24"/>
        </w:rPr>
        <w:t>et al note, these associations include</w:t>
      </w:r>
      <w:r w:rsidRPr="00D11FA2">
        <w:rPr>
          <w:rFonts w:ascii="Times New Roman" w:hAnsi="Times New Roman" w:cs="Times New Roman"/>
          <w:sz w:val="24"/>
          <w:szCs w:val="24"/>
        </w:rPr>
        <w:t xml:space="preserve"> the International Union of Microbiological Societies (2006), </w:t>
      </w:r>
      <w:r w:rsidRPr="00073A51">
        <w:rPr>
          <w:rFonts w:ascii="Times New Roman" w:hAnsi="Times New Roman" w:cs="Times New Roman"/>
          <w:sz w:val="24"/>
          <w:szCs w:val="24"/>
        </w:rPr>
        <w:t>the Royal Netherlands Academy of Arts and Sciences (</w:t>
      </w:r>
      <w:r w:rsidRPr="00D11FA2">
        <w:rPr>
          <w:rFonts w:ascii="Times New Roman" w:hAnsi="Times New Roman" w:cs="Times New Roman"/>
          <w:sz w:val="24"/>
          <w:szCs w:val="24"/>
        </w:rPr>
        <w:t>KNAW</w:t>
      </w:r>
      <w:r w:rsidRPr="00073A51">
        <w:rPr>
          <w:rFonts w:ascii="Times New Roman" w:hAnsi="Times New Roman" w:cs="Times New Roman"/>
          <w:sz w:val="24"/>
          <w:szCs w:val="24"/>
        </w:rPr>
        <w:t>)</w:t>
      </w:r>
      <w:r w:rsidR="002D3AA6">
        <w:rPr>
          <w:rFonts w:ascii="Times New Roman" w:hAnsi="Times New Roman" w:cs="Times New Roman"/>
          <w:sz w:val="24"/>
          <w:szCs w:val="24"/>
        </w:rPr>
        <w:t xml:space="preserve"> </w:t>
      </w:r>
      <w:r w:rsidRPr="00D11FA2">
        <w:rPr>
          <w:rFonts w:ascii="Times New Roman" w:hAnsi="Times New Roman" w:cs="Times New Roman"/>
          <w:sz w:val="24"/>
          <w:szCs w:val="24"/>
        </w:rPr>
        <w:t xml:space="preserve">(2007), the International Association for Synthetic Biology (2009), </w:t>
      </w:r>
      <w:r w:rsidRPr="00374B0C">
        <w:rPr>
          <w:rFonts w:ascii="Times New Roman" w:hAnsi="Times New Roman" w:cs="Times New Roman"/>
          <w:sz w:val="24"/>
          <w:szCs w:val="24"/>
        </w:rPr>
        <w:t>Italy (2010), Germany and international associations of Biological Resource Centres (both in 2013), and Indonesia (2015).</w:t>
      </w:r>
      <w:r w:rsidR="00374B0C" w:rsidRPr="00374B0C">
        <w:rPr>
          <w:sz w:val="24"/>
          <w:szCs w:val="24"/>
        </w:rPr>
        <w:t xml:space="preserve"> </w:t>
      </w:r>
      <w:r w:rsidR="00374B0C" w:rsidRPr="00374B0C">
        <w:rPr>
          <w:sz w:val="24"/>
          <w:szCs w:val="24"/>
        </w:rPr>
        <w:footnoteReference w:id="37"/>
      </w:r>
      <w:r w:rsidR="00374B0C" w:rsidRPr="00D11FA2">
        <w:rPr>
          <w:rFonts w:ascii="Times New Roman" w:hAnsi="Times New Roman" w:cs="Times New Roman"/>
          <w:sz w:val="24"/>
          <w:szCs w:val="24"/>
        </w:rPr>
        <w:t xml:space="preserve"> </w:t>
      </w:r>
      <w:r w:rsidR="00374B0C">
        <w:rPr>
          <w:rFonts w:ascii="Times New Roman" w:hAnsi="Times New Roman" w:cs="Times New Roman"/>
          <w:sz w:val="24"/>
          <w:szCs w:val="24"/>
        </w:rPr>
        <w:t xml:space="preserve"> </w:t>
      </w:r>
      <w:r w:rsidRPr="00073A51">
        <w:rPr>
          <w:rFonts w:ascii="Times New Roman" w:hAnsi="Times New Roman" w:cs="Times New Roman"/>
          <w:sz w:val="24"/>
          <w:szCs w:val="24"/>
        </w:rPr>
        <w:t xml:space="preserve">A review has shown that </w:t>
      </w:r>
      <w:r w:rsidRPr="00D11FA2">
        <w:rPr>
          <w:rFonts w:ascii="Times New Roman" w:hAnsi="Times New Roman" w:cs="Times New Roman"/>
          <w:sz w:val="24"/>
          <w:szCs w:val="24"/>
        </w:rPr>
        <w:t>most codes of conduct for research target biosecurity or unspecified dual-use research in general.</w:t>
      </w:r>
      <w:r w:rsidR="00374B0C" w:rsidRPr="00374B0C">
        <w:footnoteReference w:id="38"/>
      </w:r>
      <w:r w:rsidRPr="00D11FA2">
        <w:rPr>
          <w:rFonts w:ascii="Times New Roman" w:hAnsi="Times New Roman" w:cs="Times New Roman"/>
          <w:sz w:val="24"/>
          <w:szCs w:val="24"/>
        </w:rPr>
        <w:t xml:space="preserve"> In the chemical sector, </w:t>
      </w:r>
      <w:r w:rsidR="00353A8B">
        <w:rPr>
          <w:rFonts w:ascii="Times New Roman" w:hAnsi="Times New Roman" w:cs="Times New Roman"/>
          <w:sz w:val="24"/>
          <w:szCs w:val="24"/>
        </w:rPr>
        <w:t>for</w:t>
      </w:r>
      <w:r w:rsidRPr="00D11FA2">
        <w:rPr>
          <w:rFonts w:ascii="Times New Roman" w:hAnsi="Times New Roman" w:cs="Times New Roman"/>
          <w:sz w:val="24"/>
          <w:szCs w:val="24"/>
        </w:rPr>
        <w:t xml:space="preserve"> example, the European Chemical Industry Council (CEFIC) has proposed a model code of conduct promoting safety and security.</w:t>
      </w:r>
      <w:r w:rsidRPr="00D11FA2">
        <w:rPr>
          <w:rFonts w:ascii="Arial" w:hAnsi="Arial" w:cs="Arial"/>
          <w:color w:val="6A747C"/>
          <w:sz w:val="18"/>
          <w:szCs w:val="18"/>
          <w:shd w:val="clear" w:color="auto" w:fill="FFFFFF"/>
        </w:rPr>
        <w:t xml:space="preserve"> </w:t>
      </w:r>
      <w:r w:rsidRPr="00D11FA2">
        <w:rPr>
          <w:rFonts w:ascii="Times New Roman" w:hAnsi="Times New Roman" w:cs="Times New Roman"/>
          <w:sz w:val="24"/>
          <w:szCs w:val="24"/>
          <w:shd w:val="clear" w:color="auto" w:fill="FFFFFF"/>
        </w:rPr>
        <w:t>The aim is to c</w:t>
      </w:r>
      <w:r w:rsidRPr="00073A51">
        <w:rPr>
          <w:rFonts w:ascii="Times New Roman" w:hAnsi="Times New Roman" w:cs="Times New Roman"/>
          <w:sz w:val="24"/>
          <w:szCs w:val="24"/>
        </w:rPr>
        <w:t>ontinuously improve the environmental, health, safety and security knowledge and performance of our technologies, processes</w:t>
      </w:r>
      <w:r w:rsidRPr="00D11FA2">
        <w:rPr>
          <w:rFonts w:ascii="Times New Roman" w:hAnsi="Times New Roman" w:cs="Times New Roman"/>
          <w:sz w:val="24"/>
          <w:szCs w:val="24"/>
        </w:rPr>
        <w:t>, and products over their life cycles so as to avoid harm to people and the environment.</w:t>
      </w:r>
      <w:r w:rsidRPr="00073A51">
        <w:rPr>
          <w:rStyle w:val="FootnoteReference"/>
          <w:rFonts w:ascii="Times New Roman" w:hAnsi="Times New Roman" w:cs="Times New Roman"/>
        </w:rPr>
        <w:footnoteReference w:id="39"/>
      </w:r>
      <w:r w:rsidRPr="00073A51">
        <w:rPr>
          <w:rFonts w:ascii="Times New Roman" w:hAnsi="Times New Roman" w:cs="Times New Roman"/>
          <w:sz w:val="24"/>
          <w:szCs w:val="24"/>
        </w:rPr>
        <w:t xml:space="preserve">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Fourth, awareness-raising</w:t>
      </w:r>
      <w:r w:rsidRPr="00073A51">
        <w:rPr>
          <w:rFonts w:ascii="Times New Roman" w:hAnsi="Times New Roman" w:cs="Times New Roman"/>
          <w:sz w:val="24"/>
          <w:szCs w:val="24"/>
        </w:rPr>
        <w:t xml:space="preserve"> </w:t>
      </w:r>
      <w:r w:rsidRPr="00D11FA2">
        <w:rPr>
          <w:rFonts w:ascii="Times New Roman" w:hAnsi="Times New Roman" w:cs="Times New Roman"/>
          <w:sz w:val="24"/>
          <w:szCs w:val="24"/>
        </w:rPr>
        <w:t xml:space="preserve">initiatives have been undertaken by social scientists interested in ethics of dual-use research. These </w:t>
      </w:r>
      <w:r w:rsidR="00353A8B">
        <w:rPr>
          <w:rFonts w:ascii="Times New Roman" w:hAnsi="Times New Roman" w:cs="Times New Roman"/>
          <w:sz w:val="24"/>
          <w:szCs w:val="24"/>
        </w:rPr>
        <w:t>have taken</w:t>
      </w:r>
      <w:r w:rsidR="00353A8B"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the form of online and </w:t>
      </w:r>
      <w:r w:rsidR="00353A8B">
        <w:rPr>
          <w:rFonts w:ascii="Times New Roman" w:hAnsi="Times New Roman" w:cs="Times New Roman"/>
          <w:sz w:val="24"/>
          <w:szCs w:val="24"/>
        </w:rPr>
        <w:t>in person</w:t>
      </w:r>
      <w:r w:rsidRPr="00D11FA2">
        <w:rPr>
          <w:rFonts w:ascii="Times New Roman" w:hAnsi="Times New Roman" w:cs="Times New Roman"/>
          <w:sz w:val="24"/>
          <w:szCs w:val="24"/>
        </w:rPr>
        <w:t xml:space="preserve"> courses for students, and dedicated sessions at academic events. A leading example is the inclusion of biosafety and biosecurity in </w:t>
      </w:r>
      <w:r w:rsidRPr="00073A51">
        <w:rPr>
          <w:rFonts w:ascii="Times New Roman" w:hAnsi="Times New Roman" w:cs="Times New Roman"/>
          <w:sz w:val="24"/>
          <w:szCs w:val="24"/>
        </w:rPr>
        <w:t xml:space="preserve">the </w:t>
      </w:r>
      <w:r w:rsidRPr="00D11FA2">
        <w:rPr>
          <w:rFonts w:ascii="Times New Roman" w:hAnsi="Times New Roman" w:cs="Times New Roman"/>
          <w:sz w:val="24"/>
          <w:szCs w:val="24"/>
        </w:rPr>
        <w:t>training of teams participating in the international Genetically Engineered Machines (</w:t>
      </w:r>
      <w:proofErr w:type="spellStart"/>
      <w:r w:rsidRPr="00D11FA2">
        <w:rPr>
          <w:rFonts w:ascii="Times New Roman" w:hAnsi="Times New Roman" w:cs="Times New Roman"/>
          <w:sz w:val="24"/>
          <w:szCs w:val="24"/>
        </w:rPr>
        <w:t>iGEM</w:t>
      </w:r>
      <w:proofErr w:type="spellEnd"/>
      <w:r w:rsidRPr="00D11FA2">
        <w:rPr>
          <w:rFonts w:ascii="Times New Roman" w:hAnsi="Times New Roman" w:cs="Times New Roman"/>
          <w:sz w:val="24"/>
          <w:szCs w:val="24"/>
        </w:rPr>
        <w:t>) competition</w:t>
      </w:r>
      <w:r w:rsidRPr="00073A51">
        <w:rPr>
          <w:rFonts w:ascii="Times New Roman" w:hAnsi="Times New Roman" w:cs="Times New Roman"/>
          <w:sz w:val="24"/>
          <w:szCs w:val="24"/>
        </w:rPr>
        <w:t>.</w:t>
      </w:r>
      <w:r w:rsidRPr="00D11FA2">
        <w:rPr>
          <w:rStyle w:val="FootnoteReference"/>
          <w:rFonts w:ascii="Times New Roman" w:hAnsi="Times New Roman" w:cs="Times New Roman"/>
        </w:rPr>
        <w:footnoteReference w:id="40"/>
      </w:r>
      <w:r w:rsidRPr="00073A51">
        <w:rPr>
          <w:rFonts w:ascii="Times New Roman" w:hAnsi="Times New Roman" w:cs="Times New Roman"/>
          <w:sz w:val="24"/>
          <w:szCs w:val="24"/>
        </w:rPr>
        <w:t xml:space="preserve"> </w:t>
      </w:r>
    </w:p>
    <w:p w:rsidR="005F7F0D" w:rsidRPr="00073A51" w:rsidRDefault="005F7F0D" w:rsidP="005F7F0D">
      <w:pPr>
        <w:rPr>
          <w:rFonts w:ascii="Times New Roman" w:hAnsi="Times New Roman" w:cs="Times New Roman"/>
          <w:sz w:val="24"/>
          <w:szCs w:val="24"/>
        </w:rPr>
      </w:pPr>
      <w:r w:rsidRPr="00D11FA2">
        <w:rPr>
          <w:rFonts w:ascii="Times New Roman" w:hAnsi="Times New Roman" w:cs="Times New Roman"/>
          <w:sz w:val="24"/>
          <w:szCs w:val="24"/>
        </w:rPr>
        <w:lastRenderedPageBreak/>
        <w:t xml:space="preserve">In the field of export control, ICPs are useful tools </w:t>
      </w:r>
      <w:r w:rsidRPr="00073A51">
        <w:rPr>
          <w:rFonts w:ascii="Times New Roman" w:hAnsi="Times New Roman" w:cs="Times New Roman"/>
          <w:sz w:val="24"/>
          <w:szCs w:val="24"/>
        </w:rPr>
        <w:t xml:space="preserve">for </w:t>
      </w:r>
      <w:r w:rsidRPr="00D11FA2">
        <w:rPr>
          <w:rFonts w:ascii="Times New Roman" w:hAnsi="Times New Roman" w:cs="Times New Roman"/>
          <w:sz w:val="24"/>
          <w:szCs w:val="24"/>
        </w:rPr>
        <w:t xml:space="preserve">the attainment </w:t>
      </w:r>
      <w:r w:rsidRPr="00073A51">
        <w:rPr>
          <w:rFonts w:ascii="Times New Roman" w:hAnsi="Times New Roman" w:cs="Times New Roman"/>
          <w:sz w:val="24"/>
          <w:szCs w:val="24"/>
        </w:rPr>
        <w:t xml:space="preserve">both </w:t>
      </w:r>
      <w:r w:rsidRPr="00D11FA2">
        <w:rPr>
          <w:rFonts w:ascii="Times New Roman" w:hAnsi="Times New Roman" w:cs="Times New Roman"/>
          <w:sz w:val="24"/>
          <w:szCs w:val="24"/>
        </w:rPr>
        <w:t>of a climate of awareness and responsibility within exporting organizations and the fulfilment of export control requirements by exporters. Effective ICPs may function in synergy with codes of conduct or other agreed guidelines and comprise a clear policy and standardised</w:t>
      </w:r>
      <w:r w:rsidRPr="00073A51">
        <w:rPr>
          <w:rFonts w:ascii="Times New Roman" w:hAnsi="Times New Roman" w:cs="Times New Roman"/>
          <w:sz w:val="24"/>
          <w:szCs w:val="24"/>
        </w:rPr>
        <w:t xml:space="preserve"> procedures ensuring that all employees are aware of and compliant with export control obligations relat</w:t>
      </w:r>
      <w:r w:rsidRPr="00D11FA2">
        <w:rPr>
          <w:rFonts w:ascii="Times New Roman" w:hAnsi="Times New Roman" w:cs="Times New Roman"/>
          <w:sz w:val="24"/>
          <w:szCs w:val="24"/>
        </w:rPr>
        <w:t xml:space="preserve">ing to their work. The adoption of ICPs has been a common practice in industry for a number of years. On the contrary, most academic and research institutes - </w:t>
      </w:r>
      <w:r w:rsidRPr="00073A51">
        <w:rPr>
          <w:rFonts w:ascii="Times New Roman" w:hAnsi="Times New Roman" w:cs="Times New Roman"/>
          <w:sz w:val="24"/>
          <w:szCs w:val="24"/>
        </w:rPr>
        <w:t xml:space="preserve">at least in Europe - do not have compliance </w:t>
      </w:r>
      <w:r w:rsidRPr="00D11FA2">
        <w:rPr>
          <w:rFonts w:ascii="Times New Roman" w:hAnsi="Times New Roman" w:cs="Times New Roman"/>
          <w:sz w:val="24"/>
          <w:szCs w:val="24"/>
        </w:rPr>
        <w:t xml:space="preserve">mechanisms and awareness-raising tools in place </w:t>
      </w:r>
      <w:r w:rsidRPr="00D11FA2">
        <w:rPr>
          <w:rFonts w:ascii="Times New Roman" w:hAnsi="Times New Roman" w:cs="Times New Roman"/>
          <w:i/>
          <w:sz w:val="24"/>
          <w:szCs w:val="24"/>
        </w:rPr>
        <w:t xml:space="preserve">vis-à-vis </w:t>
      </w:r>
      <w:r w:rsidRPr="00D11FA2">
        <w:rPr>
          <w:rFonts w:ascii="Times New Roman" w:hAnsi="Times New Roman" w:cs="Times New Roman"/>
          <w:sz w:val="24"/>
          <w:szCs w:val="24"/>
        </w:rPr>
        <w:t>export control legislation even though they can be affected by the legal consequences deriving from such laws.</w:t>
      </w:r>
      <w:r w:rsidRPr="00073A51">
        <w:rPr>
          <w:rStyle w:val="FootnoteReference"/>
          <w:rFonts w:ascii="Times New Roman" w:hAnsi="Times New Roman" w:cs="Times New Roman"/>
        </w:rPr>
        <w:footnoteReference w:id="41"/>
      </w:r>
      <w:r w:rsidRPr="00073A51">
        <w:rPr>
          <w:rFonts w:ascii="Times New Roman" w:hAnsi="Times New Roman" w:cs="Times New Roman"/>
          <w:sz w:val="24"/>
          <w:szCs w:val="24"/>
        </w:rPr>
        <w:t xml:space="preserve"> </w:t>
      </w:r>
    </w:p>
    <w:p w:rsidR="005F7F0D" w:rsidRPr="00D11FA2" w:rsidRDefault="00353A8B" w:rsidP="005F7F0D">
      <w:pPr>
        <w:rPr>
          <w:rFonts w:ascii="Times New Roman" w:hAnsi="Times New Roman" w:cs="Times New Roman"/>
          <w:b/>
          <w:sz w:val="24"/>
          <w:szCs w:val="24"/>
          <w:u w:val="single"/>
        </w:rPr>
      </w:pPr>
      <w:r>
        <w:rPr>
          <w:rFonts w:ascii="Times New Roman" w:hAnsi="Times New Roman" w:cs="Times New Roman"/>
          <w:sz w:val="24"/>
          <w:szCs w:val="24"/>
        </w:rPr>
        <w:t>I</w:t>
      </w:r>
      <w:r w:rsidR="005F7F0D" w:rsidRPr="00D11FA2">
        <w:rPr>
          <w:rFonts w:ascii="Times New Roman" w:hAnsi="Times New Roman" w:cs="Times New Roman"/>
          <w:sz w:val="24"/>
          <w:szCs w:val="24"/>
        </w:rPr>
        <w:t xml:space="preserve">n the area of nuclear safety and security, the IAEA is making use of </w:t>
      </w:r>
      <w:r>
        <w:rPr>
          <w:rFonts w:ascii="Times New Roman" w:hAnsi="Times New Roman" w:cs="Times New Roman"/>
          <w:sz w:val="24"/>
          <w:szCs w:val="24"/>
        </w:rPr>
        <w:t xml:space="preserve">“soft law” </w:t>
      </w:r>
      <w:r w:rsidR="005F7F0D" w:rsidRPr="00D11FA2">
        <w:rPr>
          <w:rFonts w:ascii="Times New Roman" w:hAnsi="Times New Roman" w:cs="Times New Roman"/>
          <w:sz w:val="24"/>
          <w:szCs w:val="24"/>
        </w:rPr>
        <w:t xml:space="preserve">codes of conduct, guidance notes and handbooks and the development of standard operating procedures intended for use by the relevant public authorities in the countries concerned </w:t>
      </w:r>
      <w:r>
        <w:rPr>
          <w:rFonts w:ascii="Times New Roman" w:hAnsi="Times New Roman" w:cs="Times New Roman"/>
          <w:sz w:val="24"/>
          <w:szCs w:val="24"/>
        </w:rPr>
        <w:t>(</w:t>
      </w:r>
      <w:r w:rsidR="005F7F0D" w:rsidRPr="00D11FA2">
        <w:rPr>
          <w:rFonts w:ascii="Times New Roman" w:hAnsi="Times New Roman" w:cs="Times New Roman"/>
          <w:sz w:val="24"/>
          <w:szCs w:val="24"/>
        </w:rPr>
        <w:t>mostly for use by the nuclear regulatory bodies</w:t>
      </w:r>
      <w:r>
        <w:rPr>
          <w:rFonts w:ascii="Times New Roman" w:hAnsi="Times New Roman" w:cs="Times New Roman"/>
          <w:sz w:val="24"/>
          <w:szCs w:val="24"/>
        </w:rPr>
        <w:t>)</w:t>
      </w:r>
      <w:r w:rsidR="005F7F0D" w:rsidRPr="00D11FA2">
        <w:rPr>
          <w:rFonts w:ascii="Times New Roman" w:hAnsi="Times New Roman" w:cs="Times New Roman"/>
          <w:sz w:val="24"/>
          <w:szCs w:val="24"/>
        </w:rPr>
        <w:t xml:space="preserve">. For example, an important component of the global safety and security regime is the 2005 </w:t>
      </w:r>
      <w:r>
        <w:rPr>
          <w:rFonts w:ascii="Times New Roman" w:hAnsi="Times New Roman" w:cs="Times New Roman"/>
          <w:sz w:val="24"/>
          <w:szCs w:val="24"/>
        </w:rPr>
        <w:t>C</w:t>
      </w:r>
      <w:r w:rsidR="005F7F0D" w:rsidRPr="00D11FA2">
        <w:rPr>
          <w:rFonts w:ascii="Times New Roman" w:hAnsi="Times New Roman" w:cs="Times New Roman"/>
          <w:sz w:val="24"/>
          <w:szCs w:val="24"/>
        </w:rPr>
        <w:t xml:space="preserve">ode of </w:t>
      </w:r>
      <w:r>
        <w:rPr>
          <w:rFonts w:ascii="Times New Roman" w:hAnsi="Times New Roman" w:cs="Times New Roman"/>
          <w:sz w:val="24"/>
          <w:szCs w:val="24"/>
        </w:rPr>
        <w:t>C</w:t>
      </w:r>
      <w:r w:rsidR="005F7F0D" w:rsidRPr="00D11FA2">
        <w:rPr>
          <w:rFonts w:ascii="Times New Roman" w:hAnsi="Times New Roman" w:cs="Times New Roman"/>
          <w:sz w:val="24"/>
          <w:szCs w:val="24"/>
        </w:rPr>
        <w:t xml:space="preserve">onduct on the </w:t>
      </w:r>
      <w:r>
        <w:rPr>
          <w:rFonts w:ascii="Times New Roman" w:hAnsi="Times New Roman" w:cs="Times New Roman"/>
          <w:sz w:val="24"/>
          <w:szCs w:val="24"/>
        </w:rPr>
        <w:t>S</w:t>
      </w:r>
      <w:r w:rsidR="005F7F0D" w:rsidRPr="00D11FA2">
        <w:rPr>
          <w:rFonts w:ascii="Times New Roman" w:hAnsi="Times New Roman" w:cs="Times New Roman"/>
          <w:sz w:val="24"/>
          <w:szCs w:val="24"/>
        </w:rPr>
        <w:t xml:space="preserve">afety and </w:t>
      </w:r>
      <w:r>
        <w:rPr>
          <w:rFonts w:ascii="Times New Roman" w:hAnsi="Times New Roman" w:cs="Times New Roman"/>
          <w:sz w:val="24"/>
          <w:szCs w:val="24"/>
        </w:rPr>
        <w:t>S</w:t>
      </w:r>
      <w:r w:rsidR="005F7F0D" w:rsidRPr="00D11FA2">
        <w:rPr>
          <w:rFonts w:ascii="Times New Roman" w:hAnsi="Times New Roman" w:cs="Times New Roman"/>
          <w:sz w:val="24"/>
          <w:szCs w:val="24"/>
        </w:rPr>
        <w:t xml:space="preserve">ecurity of </w:t>
      </w:r>
      <w:r>
        <w:rPr>
          <w:rFonts w:ascii="Times New Roman" w:hAnsi="Times New Roman" w:cs="Times New Roman"/>
          <w:sz w:val="24"/>
          <w:szCs w:val="24"/>
        </w:rPr>
        <w:t>R</w:t>
      </w:r>
      <w:r w:rsidR="005F7F0D" w:rsidRPr="00D11FA2">
        <w:rPr>
          <w:rFonts w:ascii="Times New Roman" w:hAnsi="Times New Roman" w:cs="Times New Roman"/>
          <w:sz w:val="24"/>
          <w:szCs w:val="24"/>
        </w:rPr>
        <w:t xml:space="preserve">adioactive </w:t>
      </w:r>
      <w:r>
        <w:rPr>
          <w:rFonts w:ascii="Times New Roman" w:hAnsi="Times New Roman" w:cs="Times New Roman"/>
          <w:sz w:val="24"/>
          <w:szCs w:val="24"/>
        </w:rPr>
        <w:t>S</w:t>
      </w:r>
      <w:r w:rsidR="005F7F0D" w:rsidRPr="00D11FA2">
        <w:rPr>
          <w:rFonts w:ascii="Times New Roman" w:hAnsi="Times New Roman" w:cs="Times New Roman"/>
          <w:sz w:val="24"/>
          <w:szCs w:val="24"/>
        </w:rPr>
        <w:t xml:space="preserve">ources. A large majority of IAEA </w:t>
      </w:r>
      <w:r>
        <w:rPr>
          <w:rFonts w:ascii="Times New Roman" w:hAnsi="Times New Roman" w:cs="Times New Roman"/>
          <w:sz w:val="24"/>
          <w:szCs w:val="24"/>
        </w:rPr>
        <w:t>Member States</w:t>
      </w:r>
      <w:r w:rsidRPr="00D11FA2">
        <w:rPr>
          <w:rFonts w:ascii="Times New Roman" w:hAnsi="Times New Roman" w:cs="Times New Roman"/>
          <w:sz w:val="24"/>
          <w:szCs w:val="24"/>
        </w:rPr>
        <w:t xml:space="preserve"> </w:t>
      </w:r>
      <w:r w:rsidR="005F7F0D" w:rsidRPr="00D11FA2">
        <w:rPr>
          <w:rFonts w:ascii="Times New Roman" w:hAnsi="Times New Roman" w:cs="Times New Roman"/>
          <w:sz w:val="24"/>
          <w:szCs w:val="24"/>
        </w:rPr>
        <w:t xml:space="preserve">have adhered to this Code of Conduct </w:t>
      </w:r>
      <w:r>
        <w:rPr>
          <w:rFonts w:ascii="Times New Roman" w:hAnsi="Times New Roman" w:cs="Times New Roman"/>
          <w:sz w:val="24"/>
          <w:szCs w:val="24"/>
        </w:rPr>
        <w:t>along with</w:t>
      </w:r>
      <w:r w:rsidRPr="00D11FA2">
        <w:rPr>
          <w:rFonts w:ascii="Times New Roman" w:hAnsi="Times New Roman" w:cs="Times New Roman"/>
          <w:sz w:val="24"/>
          <w:szCs w:val="24"/>
        </w:rPr>
        <w:t xml:space="preserve"> </w:t>
      </w:r>
      <w:r w:rsidR="005F7F0D" w:rsidRPr="00D11FA2">
        <w:rPr>
          <w:rFonts w:ascii="Times New Roman" w:hAnsi="Times New Roman" w:cs="Times New Roman"/>
          <w:sz w:val="24"/>
          <w:szCs w:val="24"/>
        </w:rPr>
        <w:t>the related supplementary guidance notes.</w:t>
      </w:r>
      <w:r w:rsidR="005F7F0D" w:rsidRPr="00073A51">
        <w:rPr>
          <w:rStyle w:val="FootnoteReference"/>
          <w:rFonts w:ascii="Times New Roman" w:hAnsi="Times New Roman" w:cs="Times New Roman"/>
        </w:rPr>
        <w:footnoteReference w:id="42"/>
      </w:r>
      <w:r w:rsidR="005F7F0D" w:rsidRPr="00073A51">
        <w:rPr>
          <w:rFonts w:ascii="Times New Roman" w:hAnsi="Times New Roman" w:cs="Times New Roman"/>
          <w:sz w:val="24"/>
          <w:szCs w:val="24"/>
        </w:rPr>
        <w:t xml:space="preserve"> </w:t>
      </w:r>
    </w:p>
    <w:p w:rsidR="005F7F0D" w:rsidRPr="00D11FA2" w:rsidRDefault="005F7F0D" w:rsidP="005F7F0D">
      <w:pPr>
        <w:pStyle w:val="Heading1"/>
      </w:pPr>
      <w:bookmarkStart w:id="11" w:name="_Toc511640365"/>
      <w:r w:rsidRPr="00D11FA2">
        <w:t>Conclusions and recommendations</w:t>
      </w:r>
      <w:bookmarkEnd w:id="11"/>
    </w:p>
    <w:p w:rsidR="005F7F0D" w:rsidRPr="00073A51" w:rsidRDefault="00353A8B" w:rsidP="005F7F0D">
      <w:pPr>
        <w:rPr>
          <w:rFonts w:ascii="Times New Roman" w:hAnsi="Times New Roman" w:cs="Times New Roman"/>
          <w:sz w:val="24"/>
          <w:szCs w:val="24"/>
        </w:rPr>
      </w:pPr>
      <w:r>
        <w:rPr>
          <w:rFonts w:ascii="Times New Roman" w:hAnsi="Times New Roman" w:cs="Times New Roman"/>
          <w:sz w:val="24"/>
          <w:szCs w:val="24"/>
        </w:rPr>
        <w:t>In these days of the</w:t>
      </w:r>
      <w:r w:rsidR="005F7F0D" w:rsidRPr="00D11FA2">
        <w:rPr>
          <w:rFonts w:ascii="Times New Roman" w:hAnsi="Times New Roman" w:cs="Times New Roman"/>
          <w:sz w:val="24"/>
          <w:szCs w:val="24"/>
        </w:rPr>
        <w:t xml:space="preserve"> fourth industrial revolution, the scientific community and other experts have a duty of care 4.0 to ensure that security aspects are incorporated in scientific thinking and development from the early stages of scientific research </w:t>
      </w:r>
      <w:r w:rsidR="005F7F0D" w:rsidRPr="00073A51">
        <w:rPr>
          <w:rFonts w:ascii="Times New Roman" w:hAnsi="Times New Roman" w:cs="Times New Roman"/>
          <w:sz w:val="24"/>
          <w:szCs w:val="24"/>
        </w:rPr>
        <w:t>especially when dealing with CBRN agents and materials</w:t>
      </w:r>
      <w:r w:rsidR="005F7F0D" w:rsidRPr="00073A51">
        <w:rPr>
          <w:rStyle w:val="FootnoteReference"/>
          <w:rFonts w:ascii="Times New Roman" w:hAnsi="Times New Roman" w:cs="Times New Roman"/>
        </w:rPr>
        <w:footnoteReference w:id="43"/>
      </w:r>
      <w:r w:rsidR="005F7F0D" w:rsidRPr="00073A51">
        <w:rPr>
          <w:rFonts w:ascii="Times New Roman" w:hAnsi="Times New Roman" w:cs="Times New Roman"/>
          <w:sz w:val="24"/>
          <w:szCs w:val="24"/>
        </w:rPr>
        <w:t xml:space="preserve">. They are </w:t>
      </w:r>
      <w:r>
        <w:rPr>
          <w:rFonts w:ascii="Times New Roman" w:hAnsi="Times New Roman" w:cs="Times New Roman"/>
          <w:sz w:val="24"/>
          <w:szCs w:val="24"/>
        </w:rPr>
        <w:t>ideally</w:t>
      </w:r>
      <w:r w:rsidR="005F7F0D" w:rsidRPr="00D11FA2">
        <w:rPr>
          <w:rFonts w:ascii="Times New Roman" w:hAnsi="Times New Roman" w:cs="Times New Roman"/>
          <w:sz w:val="24"/>
          <w:szCs w:val="24"/>
        </w:rPr>
        <w:t xml:space="preserve"> placed to identify issues of proliferation concern well in advance and to suggest solutions to policymakers. At </w:t>
      </w:r>
      <w:r>
        <w:rPr>
          <w:rFonts w:ascii="Times New Roman" w:hAnsi="Times New Roman" w:cs="Times New Roman"/>
          <w:sz w:val="24"/>
          <w:szCs w:val="24"/>
        </w:rPr>
        <w:t xml:space="preserve">the </w:t>
      </w:r>
      <w:r w:rsidR="005F7F0D" w:rsidRPr="00D11FA2">
        <w:rPr>
          <w:rFonts w:ascii="Times New Roman" w:hAnsi="Times New Roman" w:cs="Times New Roman"/>
          <w:sz w:val="24"/>
          <w:szCs w:val="24"/>
        </w:rPr>
        <w:t xml:space="preserve">EU level, the Joint Research Centres play this important role. The knowledge and tools provided through scientific research help to protect societies against CBRN </w:t>
      </w:r>
      <w:r>
        <w:rPr>
          <w:rFonts w:ascii="Times New Roman" w:hAnsi="Times New Roman" w:cs="Times New Roman"/>
          <w:sz w:val="24"/>
          <w:szCs w:val="24"/>
        </w:rPr>
        <w:t>r</w:t>
      </w:r>
      <w:r w:rsidR="005F7F0D" w:rsidRPr="00D11FA2">
        <w:rPr>
          <w:rFonts w:ascii="Times New Roman" w:hAnsi="Times New Roman" w:cs="Times New Roman"/>
          <w:sz w:val="24"/>
          <w:szCs w:val="24"/>
        </w:rPr>
        <w:t xml:space="preserve">isks. </w:t>
      </w:r>
      <w:r>
        <w:rPr>
          <w:rFonts w:ascii="Times New Roman" w:hAnsi="Times New Roman" w:cs="Times New Roman"/>
          <w:sz w:val="24"/>
          <w:szCs w:val="24"/>
        </w:rPr>
        <w:t xml:space="preserve">By way of example, </w:t>
      </w:r>
      <w:r w:rsidR="005F7F0D" w:rsidRPr="00D11FA2">
        <w:rPr>
          <w:rFonts w:ascii="Times New Roman" w:hAnsi="Times New Roman" w:cs="Times New Roman"/>
          <w:sz w:val="24"/>
          <w:szCs w:val="24"/>
        </w:rPr>
        <w:t xml:space="preserve">the EU Research and Development programme “Horizon 2020” includes a funding area on secure societies </w:t>
      </w:r>
      <w:r>
        <w:rPr>
          <w:rFonts w:ascii="Times New Roman" w:hAnsi="Times New Roman" w:cs="Times New Roman"/>
          <w:sz w:val="24"/>
          <w:szCs w:val="24"/>
        </w:rPr>
        <w:t>which includes</w:t>
      </w:r>
      <w:r w:rsidRPr="00D11FA2">
        <w:rPr>
          <w:rFonts w:ascii="Times New Roman" w:hAnsi="Times New Roman" w:cs="Times New Roman"/>
          <w:sz w:val="24"/>
          <w:szCs w:val="24"/>
        </w:rPr>
        <w:t xml:space="preserve"> </w:t>
      </w:r>
      <w:r w:rsidR="005F7F0D" w:rsidRPr="00D11FA2">
        <w:rPr>
          <w:rFonts w:ascii="Times New Roman" w:hAnsi="Times New Roman" w:cs="Times New Roman"/>
          <w:sz w:val="24"/>
          <w:szCs w:val="24"/>
        </w:rPr>
        <w:t>the sharing of best practices.</w:t>
      </w:r>
      <w:r w:rsidR="005F7F0D" w:rsidRPr="00073A51">
        <w:rPr>
          <w:rStyle w:val="FootnoteReference"/>
          <w:rFonts w:ascii="Times New Roman" w:hAnsi="Times New Roman" w:cs="Times New Roman"/>
        </w:rPr>
        <w:footnoteReference w:id="44"/>
      </w:r>
      <w:r w:rsidR="005F7F0D" w:rsidRPr="00073A51">
        <w:rPr>
          <w:rFonts w:ascii="Times New Roman" w:hAnsi="Times New Roman" w:cs="Times New Roman"/>
          <w:sz w:val="24"/>
          <w:szCs w:val="24"/>
        </w:rPr>
        <w:t xml:space="preserve"> The Euratom Research programme </w:t>
      </w:r>
      <w:r>
        <w:rPr>
          <w:rFonts w:ascii="Times New Roman" w:hAnsi="Times New Roman" w:cs="Times New Roman"/>
          <w:sz w:val="24"/>
          <w:szCs w:val="24"/>
        </w:rPr>
        <w:t>places</w:t>
      </w:r>
      <w:r w:rsidRPr="00073A51">
        <w:rPr>
          <w:rFonts w:ascii="Times New Roman" w:hAnsi="Times New Roman" w:cs="Times New Roman"/>
          <w:sz w:val="24"/>
          <w:szCs w:val="24"/>
        </w:rPr>
        <w:t xml:space="preserve"> </w:t>
      </w:r>
      <w:r w:rsidR="005F7F0D" w:rsidRPr="00073A51">
        <w:rPr>
          <w:rFonts w:ascii="Times New Roman" w:hAnsi="Times New Roman" w:cs="Times New Roman"/>
          <w:sz w:val="24"/>
          <w:szCs w:val="24"/>
        </w:rPr>
        <w:t xml:space="preserve">a strong emphasis on developing nuclear skills and competence. The objective is to maintain the highest norms in nuclear safety and safeguards inside the EU, provide solutions for waste management </w:t>
      </w:r>
      <w:r>
        <w:rPr>
          <w:rFonts w:ascii="Times New Roman" w:hAnsi="Times New Roman" w:cs="Times New Roman"/>
          <w:sz w:val="24"/>
          <w:szCs w:val="24"/>
        </w:rPr>
        <w:t>and</w:t>
      </w:r>
      <w:r w:rsidR="005F7F0D" w:rsidRPr="00073A51">
        <w:rPr>
          <w:rFonts w:ascii="Times New Roman" w:hAnsi="Times New Roman" w:cs="Times New Roman"/>
          <w:sz w:val="24"/>
          <w:szCs w:val="24"/>
        </w:rPr>
        <w:t xml:space="preserve"> carry out research in order attain t</w:t>
      </w:r>
      <w:r w:rsidR="005F7F0D" w:rsidRPr="00D11FA2">
        <w:rPr>
          <w:rFonts w:ascii="Times New Roman" w:hAnsi="Times New Roman" w:cs="Times New Roman"/>
          <w:sz w:val="24"/>
          <w:szCs w:val="24"/>
        </w:rPr>
        <w:t>he highest level of protection from radiation. All funded projects must comply with the relevant national, EU and international rules on dual-use items.</w:t>
      </w:r>
      <w:r w:rsidR="005F7F0D" w:rsidRPr="00073A51">
        <w:rPr>
          <w:rStyle w:val="FootnoteReference"/>
          <w:rFonts w:ascii="Times New Roman" w:hAnsi="Times New Roman" w:cs="Times New Roman"/>
        </w:rPr>
        <w:footnoteReference w:id="45"/>
      </w:r>
    </w:p>
    <w:p w:rsidR="00353A8B" w:rsidRDefault="005F7F0D" w:rsidP="005F7F0D">
      <w:pPr>
        <w:rPr>
          <w:rFonts w:ascii="Times New Roman" w:hAnsi="Times New Roman" w:cs="Times New Roman"/>
          <w:sz w:val="24"/>
          <w:szCs w:val="24"/>
        </w:rPr>
      </w:pPr>
      <w:r w:rsidRPr="00D11FA2">
        <w:rPr>
          <w:rFonts w:ascii="Times New Roman" w:hAnsi="Times New Roman" w:cs="Times New Roman"/>
          <w:sz w:val="24"/>
          <w:szCs w:val="24"/>
        </w:rPr>
        <w:lastRenderedPageBreak/>
        <w:t>Scientists</w:t>
      </w:r>
      <w:r w:rsidR="00353A8B">
        <w:rPr>
          <w:rFonts w:ascii="Times New Roman" w:hAnsi="Times New Roman" w:cs="Times New Roman"/>
          <w:sz w:val="24"/>
          <w:szCs w:val="24"/>
        </w:rPr>
        <w:t xml:space="preserve"> and </w:t>
      </w:r>
      <w:r w:rsidRPr="00D11FA2">
        <w:rPr>
          <w:rFonts w:ascii="Times New Roman" w:hAnsi="Times New Roman" w:cs="Times New Roman"/>
          <w:sz w:val="24"/>
          <w:szCs w:val="24"/>
        </w:rPr>
        <w:t>experts</w:t>
      </w:r>
      <w:r w:rsidR="00353A8B">
        <w:rPr>
          <w:rFonts w:ascii="Times New Roman" w:hAnsi="Times New Roman" w:cs="Times New Roman"/>
          <w:sz w:val="24"/>
          <w:szCs w:val="24"/>
        </w:rPr>
        <w:t>,</w:t>
      </w:r>
      <w:r w:rsidRPr="00D11FA2">
        <w:rPr>
          <w:rFonts w:ascii="Times New Roman" w:hAnsi="Times New Roman" w:cs="Times New Roman"/>
          <w:sz w:val="24"/>
          <w:szCs w:val="24"/>
        </w:rPr>
        <w:t xml:space="preserve"> and their institutes</w:t>
      </w:r>
      <w:r w:rsidR="00353A8B">
        <w:rPr>
          <w:rFonts w:ascii="Times New Roman" w:hAnsi="Times New Roman" w:cs="Times New Roman"/>
          <w:sz w:val="24"/>
          <w:szCs w:val="24"/>
        </w:rPr>
        <w:t>,</w:t>
      </w:r>
      <w:r w:rsidRPr="00D11FA2">
        <w:rPr>
          <w:rFonts w:ascii="Times New Roman" w:hAnsi="Times New Roman" w:cs="Times New Roman"/>
          <w:sz w:val="24"/>
          <w:szCs w:val="24"/>
        </w:rPr>
        <w:t xml:space="preserve"> are not </w:t>
      </w:r>
      <w:r w:rsidR="00353A8B">
        <w:rPr>
          <w:rFonts w:ascii="Times New Roman" w:hAnsi="Times New Roman" w:cs="Times New Roman"/>
          <w:sz w:val="24"/>
          <w:szCs w:val="24"/>
        </w:rPr>
        <w:t>just</w:t>
      </w:r>
      <w:r w:rsidR="00353A8B" w:rsidRPr="00D11FA2">
        <w:rPr>
          <w:rFonts w:ascii="Times New Roman" w:hAnsi="Times New Roman" w:cs="Times New Roman"/>
          <w:sz w:val="24"/>
          <w:szCs w:val="24"/>
        </w:rPr>
        <w:t xml:space="preserve"> </w:t>
      </w:r>
      <w:r w:rsidRPr="00D11FA2">
        <w:rPr>
          <w:rFonts w:ascii="Times New Roman" w:hAnsi="Times New Roman" w:cs="Times New Roman"/>
          <w:sz w:val="24"/>
          <w:szCs w:val="24"/>
        </w:rPr>
        <w:t>part of the problem</w:t>
      </w:r>
      <w:r w:rsidR="00353A8B">
        <w:rPr>
          <w:rFonts w:ascii="Times New Roman" w:hAnsi="Times New Roman" w:cs="Times New Roman"/>
          <w:sz w:val="24"/>
          <w:szCs w:val="24"/>
        </w:rPr>
        <w:t>; they are</w:t>
      </w:r>
      <w:r w:rsidRPr="00D11FA2">
        <w:rPr>
          <w:rFonts w:ascii="Times New Roman" w:hAnsi="Times New Roman" w:cs="Times New Roman"/>
          <w:sz w:val="24"/>
          <w:szCs w:val="24"/>
        </w:rPr>
        <w:t xml:space="preserve"> also part of the solution. The fostering of bottom</w:t>
      </w:r>
      <w:r w:rsidR="00353A8B">
        <w:rPr>
          <w:rFonts w:ascii="Times New Roman" w:hAnsi="Times New Roman" w:cs="Times New Roman"/>
          <w:sz w:val="24"/>
          <w:szCs w:val="24"/>
        </w:rPr>
        <w:t>-</w:t>
      </w:r>
      <w:r w:rsidRPr="00D11FA2">
        <w:rPr>
          <w:rFonts w:ascii="Times New Roman" w:hAnsi="Times New Roman" w:cs="Times New Roman"/>
          <w:sz w:val="24"/>
          <w:szCs w:val="24"/>
        </w:rPr>
        <w:t xml:space="preserve">up approaches to scientist engagement is a vital complement to state-centric </w:t>
      </w:r>
      <w:r w:rsidR="00353A8B">
        <w:rPr>
          <w:rFonts w:ascii="Times New Roman" w:hAnsi="Times New Roman" w:cs="Times New Roman"/>
          <w:sz w:val="24"/>
          <w:szCs w:val="24"/>
        </w:rPr>
        <w:t>top</w:t>
      </w:r>
      <w:r w:rsidRPr="00D11FA2">
        <w:rPr>
          <w:rFonts w:ascii="Times New Roman" w:hAnsi="Times New Roman" w:cs="Times New Roman"/>
          <w:sz w:val="24"/>
          <w:szCs w:val="24"/>
        </w:rPr>
        <w:t xml:space="preserve">-down approaches. Nonetheless, work should, of course, continue to update international norms to contain these developments. However, within the overall non-proliferation context, more and better use should be made of various grassroots related models such as that of the Science Centres, the CBRN Centres of Excellence and other forms of cooperation promoting a culture of responsibility. </w:t>
      </w:r>
    </w:p>
    <w:p w:rsidR="005F7F0D" w:rsidRPr="00D11FA2" w:rsidRDefault="005F7F0D" w:rsidP="005F7F0D">
      <w:pPr>
        <w:rPr>
          <w:rFonts w:ascii="Times New Roman" w:hAnsi="Times New Roman" w:cs="Times New Roman"/>
          <w:b/>
          <w:i/>
          <w:sz w:val="24"/>
          <w:szCs w:val="24"/>
          <w:u w:val="single"/>
        </w:rPr>
      </w:pPr>
      <w:r w:rsidRPr="00D11FA2">
        <w:rPr>
          <w:rFonts w:ascii="Times New Roman" w:hAnsi="Times New Roman" w:cs="Times New Roman"/>
          <w:sz w:val="24"/>
          <w:szCs w:val="24"/>
        </w:rPr>
        <w:t xml:space="preserve">With this in mind, a number of specific recommendations </w:t>
      </w:r>
      <w:r w:rsidR="00353A8B">
        <w:rPr>
          <w:rFonts w:ascii="Times New Roman" w:hAnsi="Times New Roman" w:cs="Times New Roman"/>
          <w:sz w:val="24"/>
          <w:szCs w:val="24"/>
        </w:rPr>
        <w:t>are offered</w:t>
      </w:r>
      <w:r w:rsidRPr="00D11FA2">
        <w:rPr>
          <w:rFonts w:ascii="Times New Roman" w:hAnsi="Times New Roman" w:cs="Times New Roman"/>
          <w:sz w:val="24"/>
          <w:szCs w:val="24"/>
        </w:rPr>
        <w:t>:</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b/>
          <w:sz w:val="24"/>
          <w:szCs w:val="24"/>
        </w:rPr>
        <w:t xml:space="preserve">Strengthening of the Science Centres </w:t>
      </w:r>
      <w:r w:rsidR="00353A8B">
        <w:rPr>
          <w:rFonts w:ascii="Times New Roman" w:hAnsi="Times New Roman" w:cs="Times New Roman"/>
          <w:b/>
          <w:sz w:val="24"/>
          <w:szCs w:val="24"/>
        </w:rPr>
        <w:t>m</w:t>
      </w:r>
      <w:r w:rsidRPr="00D11FA2">
        <w:rPr>
          <w:rFonts w:ascii="Times New Roman" w:hAnsi="Times New Roman" w:cs="Times New Roman"/>
          <w:b/>
          <w:sz w:val="24"/>
          <w:szCs w:val="24"/>
        </w:rPr>
        <w:t>odel</w:t>
      </w:r>
      <w:r w:rsidRPr="00D11FA2">
        <w:rPr>
          <w:rFonts w:ascii="Times New Roman" w:hAnsi="Times New Roman" w:cs="Times New Roman"/>
          <w:sz w:val="24"/>
          <w:szCs w:val="24"/>
        </w:rPr>
        <w:t>:</w:t>
      </w:r>
      <w:r w:rsidRPr="00073A51">
        <w:t xml:space="preserve"> </w:t>
      </w:r>
      <w:r w:rsidRPr="00D11FA2">
        <w:rPr>
          <w:rFonts w:ascii="Times New Roman" w:hAnsi="Times New Roman" w:cs="Times New Roman"/>
          <w:sz w:val="24"/>
          <w:szCs w:val="24"/>
        </w:rPr>
        <w:t xml:space="preserve">The Science Centre concept has proven to be an effective and flexible tool to address proliferation concerns. </w:t>
      </w:r>
      <w:r w:rsidR="00353A8B">
        <w:rPr>
          <w:rFonts w:ascii="Times New Roman" w:hAnsi="Times New Roman" w:cs="Times New Roman"/>
          <w:sz w:val="24"/>
          <w:szCs w:val="24"/>
        </w:rPr>
        <w:t>It offers the opportunity for</w:t>
      </w:r>
      <w:r w:rsidRPr="00D11FA2">
        <w:rPr>
          <w:rFonts w:ascii="Times New Roman" w:hAnsi="Times New Roman" w:cs="Times New Roman"/>
          <w:sz w:val="24"/>
          <w:szCs w:val="24"/>
        </w:rPr>
        <w:t xml:space="preserve"> critical security tools of direct benefit to the international community.</w:t>
      </w:r>
      <w:r w:rsidRPr="00073A51">
        <w:rPr>
          <w:rStyle w:val="FootnoteReference"/>
          <w:rFonts w:ascii="Times New Roman" w:hAnsi="Times New Roman" w:cs="Times New Roman"/>
        </w:rPr>
        <w:footnoteReference w:id="46"/>
      </w:r>
      <w:r w:rsidRPr="00073A51">
        <w:rPr>
          <w:rFonts w:ascii="Times New Roman" w:hAnsi="Times New Roman" w:cs="Times New Roman"/>
          <w:sz w:val="24"/>
          <w:szCs w:val="24"/>
        </w:rPr>
        <w:t xml:space="preserve"> Work has evolved from </w:t>
      </w:r>
      <w:r w:rsidR="00353A8B">
        <w:rPr>
          <w:rFonts w:ascii="Times New Roman" w:hAnsi="Times New Roman" w:cs="Times New Roman"/>
          <w:sz w:val="24"/>
          <w:szCs w:val="24"/>
        </w:rPr>
        <w:t xml:space="preserve">the </w:t>
      </w:r>
      <w:r w:rsidRPr="00073A51">
        <w:rPr>
          <w:rFonts w:ascii="Times New Roman" w:hAnsi="Times New Roman" w:cs="Times New Roman"/>
          <w:sz w:val="24"/>
          <w:szCs w:val="24"/>
        </w:rPr>
        <w:t xml:space="preserve">redirection of </w:t>
      </w:r>
      <w:r w:rsidR="00353A8B">
        <w:rPr>
          <w:rFonts w:ascii="Times New Roman" w:hAnsi="Times New Roman" w:cs="Times New Roman"/>
          <w:sz w:val="24"/>
          <w:szCs w:val="24"/>
        </w:rPr>
        <w:t xml:space="preserve">the </w:t>
      </w:r>
      <w:r w:rsidRPr="00073A51">
        <w:rPr>
          <w:rFonts w:ascii="Times New Roman" w:hAnsi="Times New Roman" w:cs="Times New Roman"/>
          <w:sz w:val="24"/>
          <w:szCs w:val="24"/>
        </w:rPr>
        <w:t>talents of scientists in the early</w:t>
      </w:r>
      <w:r w:rsidRPr="00D11FA2">
        <w:rPr>
          <w:rFonts w:ascii="Times New Roman" w:hAnsi="Times New Roman" w:cs="Times New Roman"/>
          <w:sz w:val="24"/>
          <w:szCs w:val="24"/>
        </w:rPr>
        <w:t xml:space="preserve"> nineties to </w:t>
      </w:r>
      <w:r w:rsidR="00353A8B">
        <w:rPr>
          <w:rFonts w:ascii="Times New Roman" w:hAnsi="Times New Roman" w:cs="Times New Roman"/>
          <w:sz w:val="24"/>
          <w:szCs w:val="24"/>
        </w:rPr>
        <w:t xml:space="preserve">the </w:t>
      </w:r>
      <w:r w:rsidRPr="00D11FA2">
        <w:rPr>
          <w:rFonts w:ascii="Times New Roman" w:hAnsi="Times New Roman" w:cs="Times New Roman"/>
          <w:sz w:val="24"/>
          <w:szCs w:val="24"/>
        </w:rPr>
        <w:t xml:space="preserve">funding of more enhanced forms of cooperation on an equal partnership basis. Recently, the Centres have undergone major transformations. The task of </w:t>
      </w:r>
      <w:r w:rsidR="008C01AB">
        <w:rPr>
          <w:rFonts w:ascii="Times New Roman" w:hAnsi="Times New Roman" w:cs="Times New Roman"/>
          <w:sz w:val="24"/>
          <w:szCs w:val="24"/>
        </w:rPr>
        <w:t>existing</w:t>
      </w:r>
      <w:r w:rsidR="008C01AB" w:rsidRPr="00D11FA2">
        <w:rPr>
          <w:rFonts w:ascii="Times New Roman" w:hAnsi="Times New Roman" w:cs="Times New Roman"/>
          <w:sz w:val="24"/>
          <w:szCs w:val="24"/>
        </w:rPr>
        <w:t xml:space="preserve"> </w:t>
      </w:r>
      <w:r w:rsidRPr="00D11FA2">
        <w:rPr>
          <w:rFonts w:ascii="Times New Roman" w:hAnsi="Times New Roman" w:cs="Times New Roman"/>
          <w:sz w:val="24"/>
          <w:szCs w:val="24"/>
        </w:rPr>
        <w:t>and new parties is to make use of the opportunities that these transformations provide.</w:t>
      </w:r>
      <w:r w:rsidRPr="00073A51">
        <w:rPr>
          <w:rStyle w:val="FootnoteReference"/>
          <w:rFonts w:ascii="Times New Roman" w:hAnsi="Times New Roman" w:cs="Times New Roman"/>
        </w:rPr>
        <w:footnoteReference w:id="47"/>
      </w:r>
      <w:r w:rsidRPr="00073A51">
        <w:rPr>
          <w:rFonts w:ascii="Times New Roman" w:hAnsi="Times New Roman" w:cs="Times New Roman"/>
          <w:sz w:val="24"/>
          <w:szCs w:val="24"/>
        </w:rPr>
        <w:t xml:space="preserve"> The legal framework</w:t>
      </w:r>
      <w:r w:rsidR="008C01AB">
        <w:rPr>
          <w:rFonts w:ascii="Times New Roman" w:hAnsi="Times New Roman" w:cs="Times New Roman"/>
          <w:sz w:val="24"/>
          <w:szCs w:val="24"/>
        </w:rPr>
        <w:t>s have</w:t>
      </w:r>
      <w:r w:rsidRPr="00073A51">
        <w:rPr>
          <w:rFonts w:ascii="Times New Roman" w:hAnsi="Times New Roman" w:cs="Times New Roman"/>
          <w:sz w:val="24"/>
          <w:szCs w:val="24"/>
        </w:rPr>
        <w:t xml:space="preserve"> been overhauled substantially, allowing for the organi</w:t>
      </w:r>
      <w:r w:rsidRPr="00D11FA2">
        <w:rPr>
          <w:rFonts w:ascii="Times New Roman" w:hAnsi="Times New Roman" w:cs="Times New Roman"/>
          <w:sz w:val="24"/>
          <w:szCs w:val="24"/>
        </w:rPr>
        <w:t>sation</w:t>
      </w:r>
      <w:r w:rsidR="008C01AB">
        <w:rPr>
          <w:rFonts w:ascii="Times New Roman" w:hAnsi="Times New Roman" w:cs="Times New Roman"/>
          <w:sz w:val="24"/>
          <w:szCs w:val="24"/>
        </w:rPr>
        <w:t>s</w:t>
      </w:r>
      <w:r w:rsidRPr="00D11FA2">
        <w:rPr>
          <w:rFonts w:ascii="Times New Roman" w:hAnsi="Times New Roman" w:cs="Times New Roman"/>
          <w:sz w:val="24"/>
          <w:szCs w:val="24"/>
        </w:rPr>
        <w:t xml:space="preserve"> to work globally and more effectively. A strategy is under development to include </w:t>
      </w:r>
      <w:r w:rsidR="00374B0C">
        <w:rPr>
          <w:rFonts w:ascii="Times New Roman" w:hAnsi="Times New Roman" w:cs="Times New Roman"/>
          <w:sz w:val="24"/>
          <w:szCs w:val="24"/>
        </w:rPr>
        <w:t>new members</w:t>
      </w:r>
      <w:r w:rsidR="0000662E" w:rsidRPr="00262F7D">
        <w:rPr>
          <w:rFonts w:ascii="Times New Roman" w:hAnsi="Times New Roman" w:cs="Times New Roman"/>
          <w:sz w:val="24"/>
          <w:szCs w:val="24"/>
        </w:rPr>
        <w:t>.</w:t>
      </w:r>
      <w:r w:rsidR="00374B0C">
        <w:rPr>
          <w:rFonts w:ascii="Times New Roman" w:hAnsi="Times New Roman" w:cs="Times New Roman"/>
          <w:sz w:val="24"/>
          <w:szCs w:val="24"/>
        </w:rPr>
        <w:t xml:space="preserve"> </w:t>
      </w:r>
      <w:r w:rsidRPr="00D11FA2">
        <w:rPr>
          <w:rFonts w:ascii="Times New Roman" w:hAnsi="Times New Roman" w:cs="Times New Roman"/>
          <w:sz w:val="24"/>
          <w:szCs w:val="24"/>
        </w:rPr>
        <w:t>Belarus, Canada and Russia are to review their withdrawal decisions</w:t>
      </w:r>
      <w:r w:rsidR="0000662E" w:rsidRPr="00262F7D">
        <w:rPr>
          <w:rFonts w:ascii="Times New Roman" w:hAnsi="Times New Roman" w:cs="Times New Roman"/>
          <w:sz w:val="24"/>
          <w:szCs w:val="24"/>
        </w:rPr>
        <w:t xml:space="preserve"> and</w:t>
      </w:r>
      <w:r w:rsidR="008C01AB">
        <w:rPr>
          <w:rFonts w:ascii="Times New Roman" w:hAnsi="Times New Roman" w:cs="Times New Roman"/>
          <w:sz w:val="24"/>
          <w:szCs w:val="24"/>
        </w:rPr>
        <w:t xml:space="preserve"> efforts</w:t>
      </w:r>
      <w:r w:rsidRPr="00D11FA2">
        <w:rPr>
          <w:rFonts w:ascii="Times New Roman" w:hAnsi="Times New Roman" w:cs="Times New Roman"/>
          <w:sz w:val="24"/>
          <w:szCs w:val="24"/>
        </w:rPr>
        <w:t xml:space="preserve"> are </w:t>
      </w:r>
      <w:r w:rsidR="0000662E" w:rsidRPr="00262F7D">
        <w:rPr>
          <w:rFonts w:ascii="Times New Roman" w:hAnsi="Times New Roman" w:cs="Times New Roman"/>
          <w:sz w:val="24"/>
          <w:szCs w:val="24"/>
        </w:rPr>
        <w:t>to be</w:t>
      </w:r>
      <w:r w:rsidR="0000662E" w:rsidRPr="00D11FA2">
        <w:rPr>
          <w:rFonts w:ascii="Times New Roman" w:hAnsi="Times New Roman" w:cs="Times New Roman"/>
          <w:sz w:val="24"/>
          <w:szCs w:val="24"/>
        </w:rPr>
        <w:t xml:space="preserve"> </w:t>
      </w:r>
      <w:r w:rsidRPr="00D11FA2">
        <w:rPr>
          <w:rFonts w:ascii="Times New Roman" w:hAnsi="Times New Roman" w:cs="Times New Roman"/>
          <w:sz w:val="24"/>
          <w:szCs w:val="24"/>
        </w:rPr>
        <w:t>made to reengage with Uzbekistan</w:t>
      </w:r>
      <w:r w:rsidR="008C01AB">
        <w:rPr>
          <w:rFonts w:ascii="Times New Roman" w:hAnsi="Times New Roman" w:cs="Times New Roman"/>
          <w:sz w:val="24"/>
          <w:szCs w:val="24"/>
        </w:rPr>
        <w:t xml:space="preserve"> (at</w:t>
      </w:r>
      <w:r w:rsidRPr="00D11FA2">
        <w:rPr>
          <w:rFonts w:ascii="Times New Roman" w:hAnsi="Times New Roman" w:cs="Times New Roman"/>
          <w:sz w:val="24"/>
          <w:szCs w:val="24"/>
        </w:rPr>
        <w:t xml:space="preserve"> present this country is a dormant member of STCU</w:t>
      </w:r>
      <w:r w:rsidR="008C01AB">
        <w:rPr>
          <w:rFonts w:ascii="Times New Roman" w:hAnsi="Times New Roman" w:cs="Times New Roman"/>
          <w:sz w:val="24"/>
          <w:szCs w:val="24"/>
        </w:rPr>
        <w:t>)</w:t>
      </w:r>
      <w:r w:rsidRPr="00D11FA2">
        <w:rPr>
          <w:rFonts w:ascii="Times New Roman" w:hAnsi="Times New Roman" w:cs="Times New Roman"/>
          <w:sz w:val="24"/>
          <w:szCs w:val="24"/>
        </w:rPr>
        <w:t xml:space="preserve">. </w:t>
      </w:r>
    </w:p>
    <w:p w:rsidR="005F7F0D" w:rsidRPr="00073A51"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Despite these changes, the role of both Science Centres within the overall-proliferation toolkit is still underappreciated</w:t>
      </w:r>
      <w:r w:rsidR="008C01AB">
        <w:rPr>
          <w:rFonts w:ascii="Times New Roman" w:hAnsi="Times New Roman" w:cs="Times New Roman"/>
          <w:sz w:val="24"/>
          <w:szCs w:val="24"/>
        </w:rPr>
        <w:t>, notwithstanding the fact that</w:t>
      </w:r>
      <w:r w:rsidRPr="00D11FA2">
        <w:rPr>
          <w:rFonts w:ascii="Times New Roman" w:hAnsi="Times New Roman" w:cs="Times New Roman"/>
          <w:sz w:val="24"/>
          <w:szCs w:val="24"/>
        </w:rPr>
        <w:t xml:space="preserve"> they are </w:t>
      </w:r>
      <w:r w:rsidR="008C01AB">
        <w:rPr>
          <w:rFonts w:ascii="Times New Roman" w:hAnsi="Times New Roman" w:cs="Times New Roman"/>
          <w:sz w:val="24"/>
          <w:szCs w:val="24"/>
        </w:rPr>
        <w:t>specifically referenced</w:t>
      </w:r>
      <w:r w:rsidRPr="00D11FA2">
        <w:rPr>
          <w:rFonts w:ascii="Times New Roman" w:hAnsi="Times New Roman" w:cs="Times New Roman"/>
          <w:sz w:val="24"/>
          <w:szCs w:val="24"/>
        </w:rPr>
        <w:t xml:space="preserve"> in the </w:t>
      </w:r>
      <w:r w:rsidR="008C01AB">
        <w:rPr>
          <w:rFonts w:ascii="Times New Roman" w:hAnsi="Times New Roman" w:cs="Times New Roman"/>
          <w:sz w:val="24"/>
          <w:szCs w:val="24"/>
        </w:rPr>
        <w:t>Annex III of the Joint Comprehensive</w:t>
      </w:r>
      <w:r w:rsidR="00374B0C">
        <w:rPr>
          <w:rFonts w:ascii="Times New Roman" w:hAnsi="Times New Roman" w:cs="Times New Roman"/>
          <w:sz w:val="24"/>
          <w:szCs w:val="24"/>
        </w:rPr>
        <w:t xml:space="preserve"> Plan of Action</w:t>
      </w:r>
      <w:r w:rsidRPr="00D11FA2">
        <w:rPr>
          <w:rFonts w:ascii="Times New Roman" w:hAnsi="Times New Roman" w:cs="Times New Roman"/>
          <w:sz w:val="24"/>
          <w:szCs w:val="24"/>
        </w:rPr>
        <w:t xml:space="preserve"> (</w:t>
      </w:r>
      <w:r w:rsidR="008C01AB">
        <w:rPr>
          <w:rFonts w:ascii="Times New Roman" w:hAnsi="Times New Roman" w:cs="Times New Roman"/>
          <w:sz w:val="24"/>
          <w:szCs w:val="24"/>
        </w:rPr>
        <w:t xml:space="preserve">also referred to as “the Iran deal”) </w:t>
      </w:r>
      <w:r w:rsidRPr="00D11FA2">
        <w:rPr>
          <w:rFonts w:ascii="Times New Roman" w:hAnsi="Times New Roman" w:cs="Times New Roman"/>
          <w:sz w:val="24"/>
          <w:szCs w:val="24"/>
        </w:rPr>
        <w:t xml:space="preserve">as </w:t>
      </w:r>
      <w:r w:rsidR="008C01AB">
        <w:rPr>
          <w:rFonts w:ascii="Times New Roman" w:hAnsi="Times New Roman" w:cs="Times New Roman"/>
          <w:sz w:val="24"/>
          <w:szCs w:val="24"/>
        </w:rPr>
        <w:t xml:space="preserve">a </w:t>
      </w:r>
      <w:r w:rsidRPr="00D11FA2">
        <w:rPr>
          <w:rFonts w:ascii="Times New Roman" w:hAnsi="Times New Roman" w:cs="Times New Roman"/>
          <w:sz w:val="24"/>
          <w:szCs w:val="24"/>
        </w:rPr>
        <w:t xml:space="preserve">possible vehicle </w:t>
      </w:r>
      <w:r w:rsidR="008C01AB">
        <w:rPr>
          <w:rFonts w:ascii="Times New Roman" w:hAnsi="Times New Roman" w:cs="Times New Roman"/>
          <w:sz w:val="24"/>
          <w:szCs w:val="24"/>
        </w:rPr>
        <w:t>for the</w:t>
      </w:r>
      <w:r w:rsidR="008C01AB" w:rsidRPr="00D11FA2">
        <w:rPr>
          <w:rFonts w:ascii="Times New Roman" w:hAnsi="Times New Roman" w:cs="Times New Roman"/>
          <w:sz w:val="24"/>
          <w:szCs w:val="24"/>
        </w:rPr>
        <w:t xml:space="preserve"> implement</w:t>
      </w:r>
      <w:r w:rsidR="008C01AB">
        <w:rPr>
          <w:rFonts w:ascii="Times New Roman" w:hAnsi="Times New Roman" w:cs="Times New Roman"/>
          <w:sz w:val="24"/>
          <w:szCs w:val="24"/>
        </w:rPr>
        <w:t>ation</w:t>
      </w:r>
      <w:r w:rsidRPr="00D11FA2">
        <w:rPr>
          <w:rFonts w:ascii="Times New Roman" w:hAnsi="Times New Roman" w:cs="Times New Roman"/>
          <w:sz w:val="24"/>
          <w:szCs w:val="24"/>
        </w:rPr>
        <w:t xml:space="preserve"> </w:t>
      </w:r>
      <w:r w:rsidR="008C01AB">
        <w:rPr>
          <w:rFonts w:ascii="Times New Roman" w:hAnsi="Times New Roman" w:cs="Times New Roman"/>
          <w:sz w:val="24"/>
          <w:szCs w:val="24"/>
        </w:rPr>
        <w:t>of</w:t>
      </w:r>
      <w:r w:rsidR="008C01AB"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foreseen actions to promote civil nuclear safety cooperation with Iran. The experience </w:t>
      </w:r>
      <w:r w:rsidR="008C01AB">
        <w:rPr>
          <w:rFonts w:ascii="Times New Roman" w:hAnsi="Times New Roman" w:cs="Times New Roman"/>
          <w:sz w:val="24"/>
          <w:szCs w:val="24"/>
        </w:rPr>
        <w:t xml:space="preserve">of the Science Centres </w:t>
      </w:r>
      <w:r w:rsidRPr="00D11FA2">
        <w:rPr>
          <w:rFonts w:ascii="Times New Roman" w:hAnsi="Times New Roman" w:cs="Times New Roman"/>
          <w:sz w:val="24"/>
          <w:szCs w:val="24"/>
        </w:rPr>
        <w:t>could serve as a model for Syria</w:t>
      </w:r>
      <w:r w:rsidR="008C01AB">
        <w:rPr>
          <w:rFonts w:ascii="Times New Roman" w:hAnsi="Times New Roman" w:cs="Times New Roman"/>
          <w:sz w:val="24"/>
          <w:szCs w:val="24"/>
        </w:rPr>
        <w:t>,</w:t>
      </w:r>
      <w:r w:rsidRPr="00D11FA2">
        <w:rPr>
          <w:rFonts w:ascii="Times New Roman" w:hAnsi="Times New Roman" w:cs="Times New Roman"/>
          <w:sz w:val="24"/>
          <w:szCs w:val="24"/>
        </w:rPr>
        <w:t xml:space="preserve"> targeting chemical weapons engineers</w:t>
      </w:r>
      <w:r w:rsidR="008C01AB">
        <w:rPr>
          <w:rFonts w:ascii="Times New Roman" w:hAnsi="Times New Roman" w:cs="Times New Roman"/>
          <w:sz w:val="24"/>
          <w:szCs w:val="24"/>
        </w:rPr>
        <w:t>,</w:t>
      </w:r>
      <w:r w:rsidRPr="00D11FA2">
        <w:rPr>
          <w:rFonts w:ascii="Times New Roman" w:hAnsi="Times New Roman" w:cs="Times New Roman"/>
          <w:sz w:val="24"/>
          <w:szCs w:val="24"/>
        </w:rPr>
        <w:t xml:space="preserve"> and the nuclear scientists of North Korea once a process of denuclearization on the Korean Peninsula starts. Illustratively, South Korea’s </w:t>
      </w:r>
      <w:r w:rsidR="008C01AB">
        <w:rPr>
          <w:rFonts w:ascii="Times New Roman" w:hAnsi="Times New Roman" w:cs="Times New Roman"/>
          <w:sz w:val="24"/>
          <w:szCs w:val="24"/>
        </w:rPr>
        <w:t>A</w:t>
      </w:r>
      <w:r w:rsidRPr="00D11FA2">
        <w:rPr>
          <w:rFonts w:ascii="Times New Roman" w:hAnsi="Times New Roman" w:cs="Times New Roman"/>
          <w:sz w:val="24"/>
          <w:szCs w:val="24"/>
        </w:rPr>
        <w:t>mbassador to Russia</w:t>
      </w:r>
      <w:r w:rsidR="008C01AB">
        <w:rPr>
          <w:rFonts w:ascii="Times New Roman" w:hAnsi="Times New Roman" w:cs="Times New Roman"/>
          <w:sz w:val="24"/>
          <w:szCs w:val="24"/>
        </w:rPr>
        <w:t>,</w:t>
      </w:r>
      <w:r w:rsidRPr="00D11FA2">
        <w:rPr>
          <w:rFonts w:ascii="Times New Roman" w:hAnsi="Times New Roman" w:cs="Times New Roman"/>
          <w:sz w:val="24"/>
          <w:szCs w:val="24"/>
        </w:rPr>
        <w:t xml:space="preserve"> </w:t>
      </w:r>
      <w:r w:rsidR="008C01AB">
        <w:rPr>
          <w:rFonts w:ascii="Times New Roman" w:hAnsi="Times New Roman" w:cs="Times New Roman"/>
          <w:sz w:val="24"/>
          <w:szCs w:val="24"/>
        </w:rPr>
        <w:t>in</w:t>
      </w:r>
      <w:r w:rsidR="008C01AB"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a statement </w:t>
      </w:r>
      <w:r w:rsidR="008C01AB">
        <w:rPr>
          <w:rFonts w:ascii="Times New Roman" w:hAnsi="Times New Roman" w:cs="Times New Roman"/>
          <w:sz w:val="24"/>
          <w:szCs w:val="24"/>
        </w:rPr>
        <w:t>on</w:t>
      </w:r>
      <w:r w:rsidR="008C01AB" w:rsidRPr="00D11FA2">
        <w:rPr>
          <w:rFonts w:ascii="Times New Roman" w:hAnsi="Times New Roman" w:cs="Times New Roman"/>
          <w:sz w:val="24"/>
          <w:szCs w:val="24"/>
        </w:rPr>
        <w:t xml:space="preserve"> </w:t>
      </w:r>
      <w:r w:rsidRPr="00D11FA2">
        <w:rPr>
          <w:rFonts w:ascii="Times New Roman" w:hAnsi="Times New Roman" w:cs="Times New Roman"/>
          <w:sz w:val="24"/>
          <w:szCs w:val="24"/>
        </w:rPr>
        <w:t>the tenth anniversary of the ISTC</w:t>
      </w:r>
      <w:r w:rsidR="008C01AB">
        <w:rPr>
          <w:rFonts w:ascii="Times New Roman" w:hAnsi="Times New Roman" w:cs="Times New Roman"/>
          <w:sz w:val="24"/>
          <w:szCs w:val="24"/>
        </w:rPr>
        <w:t>,</w:t>
      </w:r>
      <w:r w:rsidRPr="00D11FA2">
        <w:rPr>
          <w:rFonts w:ascii="Times New Roman" w:hAnsi="Times New Roman" w:cs="Times New Roman"/>
          <w:sz w:val="24"/>
          <w:szCs w:val="24"/>
        </w:rPr>
        <w:t xml:space="preserve"> declared that he </w:t>
      </w:r>
      <w:r w:rsidR="008C01AB">
        <w:rPr>
          <w:rFonts w:ascii="Times New Roman" w:hAnsi="Times New Roman" w:cs="Times New Roman"/>
          <w:sz w:val="24"/>
          <w:szCs w:val="24"/>
        </w:rPr>
        <w:t>was</w:t>
      </w:r>
      <w:r w:rsidR="008C01AB" w:rsidRPr="00D11FA2">
        <w:rPr>
          <w:rFonts w:ascii="Times New Roman" w:hAnsi="Times New Roman" w:cs="Times New Roman"/>
          <w:sz w:val="24"/>
          <w:szCs w:val="24"/>
        </w:rPr>
        <w:t xml:space="preserve"> </w:t>
      </w:r>
      <w:r w:rsidRPr="00D11FA2">
        <w:rPr>
          <w:rFonts w:ascii="Times New Roman" w:hAnsi="Times New Roman" w:cs="Times New Roman"/>
          <w:sz w:val="24"/>
          <w:szCs w:val="24"/>
        </w:rPr>
        <w:t>looking forward to the day that North Korea would be a member of that Science Centre.</w:t>
      </w:r>
      <w:r w:rsidRPr="00073A51">
        <w:rPr>
          <w:rStyle w:val="FootnoteReference"/>
          <w:rFonts w:ascii="Times New Roman" w:hAnsi="Times New Roman" w:cs="Times New Roman"/>
        </w:rPr>
        <w:footnoteReference w:id="48"/>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b/>
          <w:sz w:val="24"/>
          <w:szCs w:val="24"/>
        </w:rPr>
        <w:t>Reinforcement of the CBRN Centres of Excellence model</w:t>
      </w:r>
      <w:r w:rsidRPr="00073A51">
        <w:rPr>
          <w:rFonts w:ascii="Times New Roman" w:hAnsi="Times New Roman" w:cs="Times New Roman"/>
          <w:sz w:val="24"/>
          <w:szCs w:val="24"/>
        </w:rPr>
        <w:t>: Other forms of engagement</w:t>
      </w:r>
      <w:r w:rsidR="008C01AB">
        <w:rPr>
          <w:rFonts w:ascii="Times New Roman" w:hAnsi="Times New Roman" w:cs="Times New Roman"/>
          <w:sz w:val="24"/>
          <w:szCs w:val="24"/>
        </w:rPr>
        <w:t>,</w:t>
      </w:r>
      <w:r w:rsidRPr="00073A51">
        <w:rPr>
          <w:rFonts w:ascii="Times New Roman" w:hAnsi="Times New Roman" w:cs="Times New Roman"/>
          <w:sz w:val="24"/>
          <w:szCs w:val="24"/>
        </w:rPr>
        <w:t xml:space="preserve"> such as under the EU CBRN Centres of Excellence Risk Mitigation initiative</w:t>
      </w:r>
      <w:r w:rsidR="008C01AB">
        <w:rPr>
          <w:rFonts w:ascii="Times New Roman" w:hAnsi="Times New Roman" w:cs="Times New Roman"/>
          <w:sz w:val="24"/>
          <w:szCs w:val="24"/>
        </w:rPr>
        <w:t>,</w:t>
      </w:r>
      <w:r w:rsidRPr="00073A51">
        <w:rPr>
          <w:rFonts w:ascii="Times New Roman" w:hAnsi="Times New Roman" w:cs="Times New Roman"/>
          <w:sz w:val="24"/>
          <w:szCs w:val="24"/>
        </w:rPr>
        <w:t xml:space="preserve"> with a strong bottom-up approach have led to encouraging results</w:t>
      </w:r>
      <w:r w:rsidRPr="00D11FA2">
        <w:rPr>
          <w:rFonts w:ascii="Times New Roman" w:hAnsi="Times New Roman" w:cs="Times New Roman"/>
          <w:sz w:val="24"/>
          <w:szCs w:val="24"/>
        </w:rPr>
        <w:t>. Significant governmental reforms have taken place to prevent</w:t>
      </w:r>
      <w:r w:rsidR="008C01AB">
        <w:rPr>
          <w:rFonts w:ascii="Times New Roman" w:hAnsi="Times New Roman" w:cs="Times New Roman"/>
          <w:sz w:val="24"/>
          <w:szCs w:val="24"/>
        </w:rPr>
        <w:t>,</w:t>
      </w:r>
      <w:r w:rsidRPr="00D11FA2">
        <w:rPr>
          <w:rFonts w:ascii="Times New Roman" w:hAnsi="Times New Roman" w:cs="Times New Roman"/>
          <w:sz w:val="24"/>
          <w:szCs w:val="24"/>
        </w:rPr>
        <w:t xml:space="preserve"> and more adequately to </w:t>
      </w:r>
      <w:r w:rsidR="008C01AB">
        <w:rPr>
          <w:rFonts w:ascii="Times New Roman" w:hAnsi="Times New Roman" w:cs="Times New Roman"/>
          <w:sz w:val="24"/>
          <w:szCs w:val="24"/>
        </w:rPr>
        <w:t xml:space="preserve">respond to, </w:t>
      </w:r>
      <w:r w:rsidRPr="00D11FA2">
        <w:rPr>
          <w:rFonts w:ascii="Times New Roman" w:hAnsi="Times New Roman" w:cs="Times New Roman"/>
          <w:sz w:val="24"/>
          <w:szCs w:val="24"/>
        </w:rPr>
        <w:t>CBRN risks.</w:t>
      </w:r>
    </w:p>
    <w:p w:rsidR="005F7F0D" w:rsidRPr="00073A51"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This EU programme is to be given more resources in the immediate future to allow further transformations of the Regional Secretariats to security platforms covering a wider spectrum of security issues at regional level. There is </w:t>
      </w:r>
      <w:r w:rsidR="008C01AB">
        <w:rPr>
          <w:rFonts w:ascii="Times New Roman" w:hAnsi="Times New Roman" w:cs="Times New Roman"/>
          <w:sz w:val="24"/>
          <w:szCs w:val="24"/>
        </w:rPr>
        <w:t xml:space="preserve">also </w:t>
      </w:r>
      <w:r w:rsidRPr="00D11FA2">
        <w:rPr>
          <w:rFonts w:ascii="Times New Roman" w:hAnsi="Times New Roman" w:cs="Times New Roman"/>
          <w:sz w:val="24"/>
          <w:szCs w:val="24"/>
        </w:rPr>
        <w:t>a need to expand its geographical scope. For this to happen, much depends on the future decisions by the EU under the new Multiannual Financial Framework 2021-2027.</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b/>
          <w:sz w:val="24"/>
          <w:szCs w:val="24"/>
        </w:rPr>
        <w:lastRenderedPageBreak/>
        <w:t>Accelerated introduction of other voluntary cooperation and engagement models</w:t>
      </w:r>
      <w:r w:rsidRPr="00073A51">
        <w:rPr>
          <w:rFonts w:ascii="Times New Roman" w:hAnsi="Times New Roman" w:cs="Times New Roman"/>
          <w:sz w:val="24"/>
          <w:szCs w:val="24"/>
        </w:rPr>
        <w:t xml:space="preserve">: The adoption of “softer” approaches to combat proliferation shows mixed </w:t>
      </w:r>
      <w:r w:rsidR="008C01AB">
        <w:rPr>
          <w:rFonts w:ascii="Times New Roman" w:hAnsi="Times New Roman" w:cs="Times New Roman"/>
          <w:sz w:val="24"/>
          <w:szCs w:val="24"/>
        </w:rPr>
        <w:t>results,</w:t>
      </w:r>
      <w:r w:rsidR="008C01AB" w:rsidRPr="00073A51">
        <w:rPr>
          <w:rFonts w:ascii="Times New Roman" w:hAnsi="Times New Roman" w:cs="Times New Roman"/>
          <w:sz w:val="24"/>
          <w:szCs w:val="24"/>
        </w:rPr>
        <w:t xml:space="preserve"> </w:t>
      </w:r>
      <w:r w:rsidRPr="00073A51">
        <w:rPr>
          <w:rFonts w:ascii="Times New Roman" w:hAnsi="Times New Roman" w:cs="Times New Roman"/>
          <w:sz w:val="24"/>
          <w:szCs w:val="24"/>
        </w:rPr>
        <w:t>despite their importance. The considerable time lag between the emergence of new technologies and their inclusion in legislative framewor</w:t>
      </w:r>
      <w:r w:rsidRPr="00D11FA2">
        <w:rPr>
          <w:rFonts w:ascii="Times New Roman" w:hAnsi="Times New Roman" w:cs="Times New Roman"/>
          <w:sz w:val="24"/>
          <w:szCs w:val="24"/>
        </w:rPr>
        <w:t xml:space="preserve">ks calls for flexible responses. </w:t>
      </w:r>
      <w:r w:rsidRPr="00D11FA2" w:rsidDel="00527A13">
        <w:rPr>
          <w:rFonts w:ascii="Times New Roman" w:hAnsi="Times New Roman" w:cs="Times New Roman"/>
          <w:sz w:val="24"/>
          <w:szCs w:val="24"/>
        </w:rPr>
        <w:t xml:space="preserve"> </w:t>
      </w:r>
      <w:r w:rsidRPr="00D11FA2">
        <w:rPr>
          <w:rFonts w:ascii="Times New Roman" w:hAnsi="Times New Roman" w:cs="Times New Roman"/>
          <w:sz w:val="24"/>
          <w:szCs w:val="24"/>
        </w:rPr>
        <w:t>Effective codes of conduct, independent peer reviews, awareness</w:t>
      </w:r>
      <w:r w:rsidR="008C01AB">
        <w:rPr>
          <w:rFonts w:ascii="Times New Roman" w:hAnsi="Times New Roman" w:cs="Times New Roman"/>
          <w:sz w:val="24"/>
          <w:szCs w:val="24"/>
        </w:rPr>
        <w:t xml:space="preserve"> </w:t>
      </w:r>
      <w:r w:rsidRPr="00D11FA2">
        <w:rPr>
          <w:rFonts w:ascii="Times New Roman" w:hAnsi="Times New Roman" w:cs="Times New Roman"/>
          <w:sz w:val="24"/>
          <w:szCs w:val="24"/>
        </w:rPr>
        <w:t>raising and other actions</w:t>
      </w:r>
      <w:r w:rsidR="008C01AB">
        <w:rPr>
          <w:rFonts w:ascii="Times New Roman" w:hAnsi="Times New Roman" w:cs="Times New Roman"/>
          <w:sz w:val="24"/>
          <w:szCs w:val="24"/>
        </w:rPr>
        <w:t>,</w:t>
      </w:r>
      <w:r w:rsidRPr="00D11FA2">
        <w:rPr>
          <w:rFonts w:ascii="Times New Roman" w:hAnsi="Times New Roman" w:cs="Times New Roman"/>
          <w:sz w:val="24"/>
          <w:szCs w:val="24"/>
        </w:rPr>
        <w:t xml:space="preserve"> such a</w:t>
      </w:r>
      <w:r>
        <w:rPr>
          <w:rFonts w:ascii="Times New Roman" w:hAnsi="Times New Roman" w:cs="Times New Roman"/>
          <w:sz w:val="24"/>
          <w:szCs w:val="24"/>
        </w:rPr>
        <w:t>s</w:t>
      </w:r>
      <w:r w:rsidRPr="00073A51">
        <w:rPr>
          <w:rFonts w:ascii="Times New Roman" w:hAnsi="Times New Roman" w:cs="Times New Roman"/>
          <w:sz w:val="24"/>
          <w:szCs w:val="24"/>
        </w:rPr>
        <w:t xml:space="preserve"> mutual risks assessments</w:t>
      </w:r>
      <w:r w:rsidR="008C01AB">
        <w:rPr>
          <w:rFonts w:ascii="Times New Roman" w:hAnsi="Times New Roman" w:cs="Times New Roman"/>
          <w:sz w:val="24"/>
          <w:szCs w:val="24"/>
        </w:rPr>
        <w:t>,</w:t>
      </w:r>
      <w:r w:rsidRPr="00073A51">
        <w:rPr>
          <w:rFonts w:ascii="Times New Roman" w:hAnsi="Times New Roman" w:cs="Times New Roman"/>
          <w:sz w:val="24"/>
          <w:szCs w:val="24"/>
        </w:rPr>
        <w:t xml:space="preserve"> should</w:t>
      </w:r>
      <w:r w:rsidRPr="00D11FA2">
        <w:rPr>
          <w:rFonts w:ascii="Times New Roman" w:hAnsi="Times New Roman" w:cs="Times New Roman"/>
          <w:sz w:val="24"/>
          <w:szCs w:val="24"/>
        </w:rPr>
        <w:t xml:space="preserve"> be introduced </w:t>
      </w:r>
      <w:r w:rsidR="008C01AB">
        <w:rPr>
          <w:rFonts w:ascii="Times New Roman" w:hAnsi="Times New Roman" w:cs="Times New Roman"/>
          <w:sz w:val="24"/>
          <w:szCs w:val="24"/>
        </w:rPr>
        <w:t>on</w:t>
      </w:r>
      <w:r w:rsidR="008C01AB"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a </w:t>
      </w:r>
      <w:r w:rsidR="008C01AB">
        <w:rPr>
          <w:rFonts w:ascii="Times New Roman" w:hAnsi="Times New Roman" w:cs="Times New Roman"/>
          <w:sz w:val="24"/>
          <w:szCs w:val="24"/>
        </w:rPr>
        <w:t>broader</w:t>
      </w:r>
      <w:r w:rsidR="008C01AB" w:rsidRPr="00D11FA2">
        <w:rPr>
          <w:rFonts w:ascii="Times New Roman" w:hAnsi="Times New Roman" w:cs="Times New Roman"/>
          <w:sz w:val="24"/>
          <w:szCs w:val="24"/>
        </w:rPr>
        <w:t xml:space="preserve"> </w:t>
      </w:r>
      <w:r w:rsidRPr="00D11FA2">
        <w:rPr>
          <w:rFonts w:ascii="Times New Roman" w:hAnsi="Times New Roman" w:cs="Times New Roman"/>
          <w:sz w:val="24"/>
          <w:szCs w:val="24"/>
        </w:rPr>
        <w:t xml:space="preserve">scale to promote a culture of responsibility. </w:t>
      </w:r>
      <w:r w:rsidR="008C01AB">
        <w:rPr>
          <w:rFonts w:ascii="Times New Roman" w:hAnsi="Times New Roman" w:cs="Times New Roman"/>
          <w:sz w:val="24"/>
          <w:szCs w:val="24"/>
        </w:rPr>
        <w:t>I</w:t>
      </w:r>
      <w:r w:rsidRPr="00D11FA2">
        <w:rPr>
          <w:rFonts w:ascii="Times New Roman" w:hAnsi="Times New Roman" w:cs="Times New Roman"/>
          <w:sz w:val="24"/>
          <w:szCs w:val="24"/>
        </w:rPr>
        <w:t xml:space="preserve">nitiatives are </w:t>
      </w:r>
      <w:r w:rsidR="008C01AB">
        <w:rPr>
          <w:rFonts w:ascii="Times New Roman" w:hAnsi="Times New Roman" w:cs="Times New Roman"/>
          <w:sz w:val="24"/>
          <w:szCs w:val="24"/>
        </w:rPr>
        <w:t>being</w:t>
      </w:r>
      <w:r w:rsidRPr="00D11FA2">
        <w:rPr>
          <w:rFonts w:ascii="Times New Roman" w:hAnsi="Times New Roman" w:cs="Times New Roman"/>
          <w:sz w:val="24"/>
          <w:szCs w:val="24"/>
        </w:rPr>
        <w:t xml:space="preserve"> taken at the national and international level to advance their adoption by industry, academia and scientific bodies. The Science Centres and the EU CBRN programme should assist in this process.</w:t>
      </w:r>
    </w:p>
    <w:p w:rsidR="00321FE4" w:rsidRDefault="00321FE4" w:rsidP="00321FE4">
      <w:pPr>
        <w:tabs>
          <w:tab w:val="left" w:pos="7587"/>
        </w:tabs>
        <w:rPr>
          <w:rFonts w:ascii="Times New Roman" w:hAnsi="Times New Roman" w:cs="Times New Roman"/>
          <w:sz w:val="24"/>
          <w:szCs w:val="24"/>
        </w:rPr>
      </w:pPr>
    </w:p>
    <w:p w:rsidR="005F7F0D" w:rsidRPr="00321FE4" w:rsidRDefault="005F7F0D" w:rsidP="00321FE4">
      <w:pPr>
        <w:tabs>
          <w:tab w:val="left" w:pos="7587"/>
        </w:tabs>
        <w:rPr>
          <w:rFonts w:ascii="Times New Roman" w:hAnsi="Times New Roman" w:cs="Times New Roman"/>
          <w:sz w:val="24"/>
          <w:szCs w:val="24"/>
        </w:rPr>
      </w:pPr>
      <w:r w:rsidRPr="00D11FA2">
        <w:rPr>
          <w:rFonts w:ascii="Times New Roman" w:hAnsi="Times New Roman" w:cs="Times New Roman"/>
          <w:sz w:val="24"/>
          <w:szCs w:val="24"/>
          <w:u w:val="single"/>
        </w:rPr>
        <w:t>- - -</w:t>
      </w:r>
    </w:p>
    <w:p w:rsidR="00321FE4" w:rsidRDefault="00321FE4">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F7F0D" w:rsidRPr="00073A51" w:rsidRDefault="005F7F0D" w:rsidP="005F7F0D">
      <w:pPr>
        <w:rPr>
          <w:rFonts w:ascii="Times New Roman" w:hAnsi="Times New Roman" w:cs="Times New Roman"/>
          <w:sz w:val="24"/>
          <w:szCs w:val="24"/>
          <w:u w:val="single"/>
        </w:rPr>
      </w:pPr>
      <w:r w:rsidRPr="00073A51">
        <w:rPr>
          <w:rFonts w:ascii="Times New Roman" w:hAnsi="Times New Roman" w:cs="Times New Roman"/>
          <w:sz w:val="24"/>
          <w:szCs w:val="24"/>
          <w:u w:val="single"/>
        </w:rPr>
        <w:lastRenderedPageBreak/>
        <w:t>References</w:t>
      </w:r>
    </w:p>
    <w:p w:rsidR="005F7F0D" w:rsidRPr="00D11FA2" w:rsidRDefault="005F7F0D" w:rsidP="005F7F0D">
      <w:pPr>
        <w:rPr>
          <w:rFonts w:ascii="Times New Roman" w:hAnsi="Times New Roman" w:cs="Times New Roman"/>
          <w:i/>
          <w:sz w:val="24"/>
          <w:szCs w:val="24"/>
        </w:rPr>
      </w:pPr>
      <w:r w:rsidRPr="00D11FA2">
        <w:rPr>
          <w:rFonts w:ascii="Times New Roman" w:hAnsi="Times New Roman" w:cs="Times New Roman"/>
          <w:sz w:val="24"/>
          <w:szCs w:val="24"/>
        </w:rPr>
        <w:t xml:space="preserve">Anthony, I. and Grip, L. June 2013. “Strengthening the European Union's Future Approach to WMD Non-Proliferation,” </w:t>
      </w:r>
      <w:r w:rsidRPr="00D11FA2">
        <w:rPr>
          <w:rFonts w:ascii="Times New Roman" w:hAnsi="Times New Roman" w:cs="Times New Roman"/>
          <w:i/>
          <w:sz w:val="24"/>
          <w:szCs w:val="24"/>
        </w:rPr>
        <w:t>SIPRI.</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Bauer, S. and Bromley, M. March 2016. “The Dual-Use Export Control Policy Review: Balancing Security, Trade and Academic Freedom in a Changing World,” </w:t>
      </w:r>
      <w:r w:rsidRPr="00D11FA2">
        <w:rPr>
          <w:rFonts w:ascii="Times New Roman" w:hAnsi="Times New Roman" w:cs="Times New Roman"/>
          <w:i/>
          <w:sz w:val="24"/>
          <w:szCs w:val="24"/>
        </w:rPr>
        <w:t xml:space="preserve">NP paper, </w:t>
      </w:r>
      <w:r w:rsidRPr="00D11FA2">
        <w:rPr>
          <w:rFonts w:ascii="Times New Roman" w:hAnsi="Times New Roman" w:cs="Times New Roman"/>
          <w:sz w:val="24"/>
          <w:szCs w:val="24"/>
        </w:rPr>
        <w:t xml:space="preserve">48, 18pp. </w:t>
      </w:r>
    </w:p>
    <w:p w:rsidR="005F7F0D" w:rsidRPr="00D11FA2" w:rsidRDefault="005F7F0D" w:rsidP="005F7F0D">
      <w:pPr>
        <w:rPr>
          <w:rFonts w:ascii="Times New Roman" w:hAnsi="Times New Roman" w:cs="Times New Roman"/>
          <w:sz w:val="24"/>
          <w:szCs w:val="24"/>
        </w:rPr>
      </w:pPr>
      <w:proofErr w:type="spellStart"/>
      <w:r w:rsidRPr="00D11FA2">
        <w:rPr>
          <w:rFonts w:ascii="Times New Roman" w:hAnsi="Times New Roman" w:cs="Times New Roman"/>
          <w:sz w:val="24"/>
          <w:szCs w:val="24"/>
        </w:rPr>
        <w:t>Charatsis</w:t>
      </w:r>
      <w:proofErr w:type="spellEnd"/>
      <w:r w:rsidRPr="00D11FA2">
        <w:rPr>
          <w:rFonts w:ascii="Times New Roman" w:hAnsi="Times New Roman" w:cs="Times New Roman"/>
          <w:sz w:val="24"/>
          <w:szCs w:val="24"/>
        </w:rPr>
        <w:t xml:space="preserve">, C. 2016. </w:t>
      </w:r>
      <w:r w:rsidRPr="00D11FA2">
        <w:rPr>
          <w:rFonts w:ascii="Times New Roman" w:hAnsi="Times New Roman" w:cs="Times New Roman"/>
          <w:i/>
          <w:sz w:val="24"/>
          <w:szCs w:val="24"/>
        </w:rPr>
        <w:t xml:space="preserve">Interferences between Non-Proliferation and Science: 'Exporting' Dual-Use Know-How and Technology in Conformity with Security Imperatives. </w:t>
      </w:r>
      <w:r w:rsidRPr="00D11FA2">
        <w:rPr>
          <w:rFonts w:ascii="Times New Roman" w:hAnsi="Times New Roman" w:cs="Times New Roman"/>
          <w:sz w:val="24"/>
          <w:szCs w:val="24"/>
        </w:rPr>
        <w:t>University of Liege.</w:t>
      </w:r>
    </w:p>
    <w:p w:rsidR="005F7F0D" w:rsidRPr="00D11FA2" w:rsidRDefault="005F7F0D" w:rsidP="005F7F0D">
      <w:pPr>
        <w:rPr>
          <w:rFonts w:ascii="Times New Roman" w:hAnsi="Times New Roman" w:cs="Times New Roman"/>
          <w:sz w:val="24"/>
          <w:szCs w:val="24"/>
        </w:rPr>
      </w:pPr>
      <w:proofErr w:type="spellStart"/>
      <w:r w:rsidRPr="00D11FA2">
        <w:rPr>
          <w:rFonts w:ascii="Times New Roman" w:hAnsi="Times New Roman" w:cs="Times New Roman"/>
          <w:sz w:val="24"/>
          <w:szCs w:val="24"/>
        </w:rPr>
        <w:t>Charatsis</w:t>
      </w:r>
      <w:proofErr w:type="spellEnd"/>
      <w:r w:rsidRPr="00D11FA2">
        <w:rPr>
          <w:rFonts w:ascii="Times New Roman" w:hAnsi="Times New Roman" w:cs="Times New Roman"/>
          <w:sz w:val="24"/>
          <w:szCs w:val="24"/>
        </w:rPr>
        <w:t xml:space="preserve">, C. Spring 2017. “Dual-Use Research and Trade Controls: Opportunities and Controversies,” </w:t>
      </w:r>
      <w:r w:rsidRPr="00D11FA2">
        <w:rPr>
          <w:rFonts w:ascii="Times New Roman" w:hAnsi="Times New Roman" w:cs="Times New Roman"/>
          <w:i/>
          <w:sz w:val="24"/>
          <w:szCs w:val="24"/>
        </w:rPr>
        <w:t xml:space="preserve">Strategic Trade Review, </w:t>
      </w:r>
      <w:r w:rsidRPr="00D11FA2">
        <w:rPr>
          <w:rFonts w:ascii="Times New Roman" w:hAnsi="Times New Roman" w:cs="Times New Roman"/>
          <w:sz w:val="24"/>
          <w:szCs w:val="24"/>
        </w:rPr>
        <w:t>3 (4), 47-68.</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Council of the European</w:t>
      </w:r>
      <w:r w:rsidR="0000662E" w:rsidRPr="00262F7D">
        <w:rPr>
          <w:rFonts w:ascii="Times New Roman" w:hAnsi="Times New Roman" w:cs="Times New Roman"/>
          <w:sz w:val="24"/>
          <w:szCs w:val="24"/>
        </w:rPr>
        <w:t xml:space="preserve"> Union</w:t>
      </w:r>
      <w:r w:rsidRPr="00D11FA2">
        <w:rPr>
          <w:rFonts w:ascii="Times New Roman" w:hAnsi="Times New Roman" w:cs="Times New Roman"/>
          <w:sz w:val="24"/>
          <w:szCs w:val="24"/>
        </w:rPr>
        <w:t>. December 2003. Strategy against the proliferation of weapons of mass destruction (WMD).</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Council of the European Union. December 2008. Council Conclusions and New Lines for Action by the European Union in Combatting the Proliferation of Weapons of Mass Destruction and their Delivery Systems.</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Council of the European Union. October 2013. Council Conclusions on Ensuring the Continued Pursuit of an Effective EU Policy on the New Challenges presented by the Proliferation of Weapons of Mass Destruction (WMD) and their Delivery Systems.</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Council of the European Union. October 2015. Council Decision approving the Conclusion, by the European Commission, on behalf of the European Atomic Energy Community, of the Agreement Continuing the International Science and Technology Centre (12559/15).</w:t>
      </w:r>
    </w:p>
    <w:p w:rsidR="005F7F0D" w:rsidRPr="008E5D5A"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Council of the European Union, January 2017. Annual Progress Report on the Implementation of the European Union Strategy Against the Proliferation of Weapons of Mass Destruction (</w:t>
      </w:r>
      <w:proofErr w:type="gramStart"/>
      <w:r w:rsidRPr="00D11FA2">
        <w:rPr>
          <w:rFonts w:ascii="Times New Roman" w:hAnsi="Times New Roman" w:cs="Times New Roman"/>
          <w:sz w:val="24"/>
          <w:szCs w:val="24"/>
        </w:rPr>
        <w:t>2016)(</w:t>
      </w:r>
      <w:proofErr w:type="gramEnd"/>
      <w:r w:rsidRPr="00D11FA2">
        <w:rPr>
          <w:rFonts w:ascii="Times New Roman" w:hAnsi="Times New Roman" w:cs="Times New Roman"/>
          <w:sz w:val="24"/>
          <w:szCs w:val="24"/>
        </w:rPr>
        <w:t>5361/17)</w:t>
      </w:r>
      <w:r w:rsidR="008E5D5A" w:rsidRPr="00262F7D">
        <w:rPr>
          <w:rFonts w:ascii="Times New Roman" w:hAnsi="Times New Roman" w:cs="Times New Roman"/>
          <w:sz w:val="24"/>
          <w:szCs w:val="24"/>
        </w:rPr>
        <w:t xml:space="preserve">. </w:t>
      </w:r>
    </w:p>
    <w:p w:rsidR="005F7F0D" w:rsidRPr="00D11FA2" w:rsidRDefault="005F7F0D" w:rsidP="005F7F0D">
      <w:pPr>
        <w:rPr>
          <w:rFonts w:ascii="Times New Roman" w:hAnsi="Times New Roman" w:cs="Times New Roman"/>
          <w:i/>
          <w:sz w:val="24"/>
          <w:szCs w:val="24"/>
        </w:rPr>
      </w:pPr>
      <w:r w:rsidRPr="00653362">
        <w:rPr>
          <w:rFonts w:ascii="Times New Roman" w:hAnsi="Times New Roman" w:cs="Times New Roman"/>
          <w:sz w:val="24"/>
          <w:szCs w:val="24"/>
          <w:lang w:val="de-AT"/>
        </w:rPr>
        <w:t xml:space="preserve">De Spiegelere, S., Maas, M. and Sweijst, T. 2017. </w:t>
      </w:r>
      <w:r w:rsidRPr="00073A51">
        <w:rPr>
          <w:rFonts w:ascii="Times New Roman" w:hAnsi="Times New Roman" w:cs="Times New Roman"/>
          <w:sz w:val="24"/>
          <w:szCs w:val="24"/>
        </w:rPr>
        <w:t xml:space="preserve">Report on </w:t>
      </w:r>
      <w:r w:rsidRPr="00073A51">
        <w:rPr>
          <w:rFonts w:ascii="Times New Roman" w:hAnsi="Times New Roman" w:cs="Times New Roman"/>
          <w:i/>
          <w:sz w:val="24"/>
          <w:szCs w:val="24"/>
        </w:rPr>
        <w:t xml:space="preserve">Artificial Intelligence and the Future of </w:t>
      </w:r>
      <w:proofErr w:type="spellStart"/>
      <w:r w:rsidRPr="00073A51">
        <w:rPr>
          <w:rFonts w:ascii="Times New Roman" w:hAnsi="Times New Roman" w:cs="Times New Roman"/>
          <w:i/>
          <w:sz w:val="24"/>
          <w:szCs w:val="24"/>
        </w:rPr>
        <w:t>Defense</w:t>
      </w:r>
      <w:proofErr w:type="spellEnd"/>
      <w:r w:rsidRPr="00073A51">
        <w:rPr>
          <w:rFonts w:ascii="Times New Roman" w:hAnsi="Times New Roman" w:cs="Times New Roman"/>
          <w:i/>
          <w:sz w:val="24"/>
          <w:szCs w:val="24"/>
        </w:rPr>
        <w:t xml:space="preserve">: Strategic Implications for Small and Medium-Sized Force Providers, </w:t>
      </w:r>
      <w:r w:rsidRPr="00D11FA2">
        <w:rPr>
          <w:rFonts w:ascii="Times New Roman" w:hAnsi="Times New Roman" w:cs="Times New Roman"/>
          <w:sz w:val="24"/>
          <w:szCs w:val="24"/>
        </w:rPr>
        <w:t>The Hague Centre for Strategic Studies.</w:t>
      </w:r>
      <w:r w:rsidRPr="00D11FA2">
        <w:rPr>
          <w:rFonts w:ascii="Times New Roman" w:hAnsi="Times New Roman" w:cs="Times New Roman"/>
          <w:i/>
          <w:sz w:val="24"/>
          <w:szCs w:val="24"/>
        </w:rPr>
        <w:t xml:space="preserve">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European Commission. October 2017. Communication from the Commission on Action Plan to Enhance Preparedness against Chemical, Biological, Radiological, and Nuclear Security Risks (COM/2017/610 Final).</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European Commission. October 2017. Horizon 2020 Work Programme 2018-2020</w:t>
      </w:r>
      <w:r w:rsidR="008E5D5A" w:rsidRPr="00262F7D">
        <w:rPr>
          <w:rFonts w:ascii="Times New Roman" w:hAnsi="Times New Roman" w:cs="Times New Roman"/>
          <w:sz w:val="24"/>
          <w:szCs w:val="24"/>
        </w:rPr>
        <w:t>.</w:t>
      </w:r>
      <w:r w:rsidRPr="00D11FA2">
        <w:rPr>
          <w:rFonts w:ascii="Times New Roman" w:hAnsi="Times New Roman" w:cs="Times New Roman"/>
          <w:sz w:val="24"/>
          <w:szCs w:val="24"/>
        </w:rPr>
        <w:t xml:space="preserve">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Global Partnership Working Group (GPWG). 2009. “Recommendations for a Coordinated Approach in the Field of Global Weapons of Mass Destruction Knowledge Proliferation and Scientist Engagement,” Annex B.</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Hecker, S., ed.  2016. </w:t>
      </w:r>
      <w:r w:rsidRPr="00D11FA2">
        <w:rPr>
          <w:rFonts w:ascii="Times New Roman" w:hAnsi="Times New Roman" w:cs="Times New Roman"/>
          <w:i/>
          <w:sz w:val="24"/>
          <w:szCs w:val="24"/>
        </w:rPr>
        <w:t xml:space="preserve">Doomed to Cooperate: How American and Russian Scientist Joined Forces to Avert Some of the Greatest Post-Cold War Nuclear Dangers, </w:t>
      </w:r>
      <w:r w:rsidRPr="00D11FA2">
        <w:rPr>
          <w:rFonts w:ascii="Times New Roman" w:hAnsi="Times New Roman" w:cs="Times New Roman"/>
          <w:sz w:val="24"/>
          <w:szCs w:val="24"/>
        </w:rPr>
        <w:t>Los Alamos Historical Society's Bathtub Row Press.</w:t>
      </w:r>
    </w:p>
    <w:p w:rsidR="005F7F0D" w:rsidRPr="00D11FA2" w:rsidRDefault="005F7F0D" w:rsidP="005F7F0D">
      <w:pPr>
        <w:rPr>
          <w:rFonts w:ascii="Times New Roman" w:hAnsi="Times New Roman" w:cs="Times New Roman"/>
          <w:i/>
          <w:sz w:val="24"/>
          <w:szCs w:val="24"/>
        </w:rPr>
      </w:pPr>
      <w:r w:rsidRPr="00D11FA2">
        <w:rPr>
          <w:rFonts w:ascii="Times New Roman" w:hAnsi="Times New Roman" w:cs="Times New Roman"/>
          <w:sz w:val="24"/>
          <w:szCs w:val="24"/>
        </w:rPr>
        <w:lastRenderedPageBreak/>
        <w:t xml:space="preserve">Hecker, S. April 2017. “When Science Brought Americans and Russians Together,” </w:t>
      </w:r>
      <w:r w:rsidRPr="00D11FA2">
        <w:rPr>
          <w:rFonts w:ascii="Times New Roman" w:hAnsi="Times New Roman" w:cs="Times New Roman"/>
          <w:i/>
          <w:sz w:val="24"/>
          <w:szCs w:val="24"/>
        </w:rPr>
        <w:t>Bulletin of the Atomic Scientists.</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High Representative of the Union for Foreign Affairs and Security Policy Vice-President of the European Commission. June 2016.The Global Strategy for the European Union's Foreign and Security Policy the European Union. </w:t>
      </w:r>
    </w:p>
    <w:p w:rsidR="005F7F0D" w:rsidRPr="00D11FA2" w:rsidRDefault="005F7F0D" w:rsidP="005F7F0D">
      <w:pPr>
        <w:rPr>
          <w:rFonts w:ascii="Times New Roman" w:hAnsi="Times New Roman" w:cs="Times New Roman"/>
          <w:i/>
          <w:sz w:val="24"/>
          <w:szCs w:val="24"/>
        </w:rPr>
      </w:pPr>
      <w:proofErr w:type="spellStart"/>
      <w:r w:rsidRPr="00D11FA2">
        <w:rPr>
          <w:rFonts w:ascii="Times New Roman" w:hAnsi="Times New Roman" w:cs="Times New Roman"/>
          <w:sz w:val="24"/>
          <w:szCs w:val="24"/>
        </w:rPr>
        <w:t>Insubria</w:t>
      </w:r>
      <w:proofErr w:type="spellEnd"/>
      <w:r w:rsidRPr="00D11FA2">
        <w:rPr>
          <w:rFonts w:ascii="Times New Roman" w:hAnsi="Times New Roman" w:cs="Times New Roman"/>
          <w:sz w:val="24"/>
          <w:szCs w:val="24"/>
        </w:rPr>
        <w:t xml:space="preserve"> </w:t>
      </w:r>
      <w:proofErr w:type="spellStart"/>
      <w:r w:rsidRPr="00D11FA2">
        <w:rPr>
          <w:rFonts w:ascii="Times New Roman" w:hAnsi="Times New Roman" w:cs="Times New Roman"/>
          <w:sz w:val="24"/>
          <w:szCs w:val="24"/>
        </w:rPr>
        <w:t>Center</w:t>
      </w:r>
      <w:proofErr w:type="spellEnd"/>
      <w:r w:rsidRPr="00D11FA2">
        <w:rPr>
          <w:rFonts w:ascii="Times New Roman" w:hAnsi="Times New Roman" w:cs="Times New Roman"/>
          <w:sz w:val="24"/>
          <w:szCs w:val="24"/>
        </w:rPr>
        <w:t xml:space="preserve"> on International Security, University of </w:t>
      </w:r>
      <w:proofErr w:type="spellStart"/>
      <w:r w:rsidRPr="00D11FA2">
        <w:rPr>
          <w:rFonts w:ascii="Times New Roman" w:hAnsi="Times New Roman" w:cs="Times New Roman"/>
          <w:sz w:val="24"/>
          <w:szCs w:val="24"/>
        </w:rPr>
        <w:t>Insubria</w:t>
      </w:r>
      <w:proofErr w:type="spellEnd"/>
      <w:r w:rsidRPr="00D11FA2">
        <w:rPr>
          <w:rFonts w:ascii="Times New Roman" w:hAnsi="Times New Roman" w:cs="Times New Roman"/>
          <w:sz w:val="24"/>
          <w:szCs w:val="24"/>
        </w:rPr>
        <w:t xml:space="preserve">. 2014. Final Report on </w:t>
      </w:r>
      <w:r w:rsidRPr="00D11FA2">
        <w:rPr>
          <w:rFonts w:ascii="Times New Roman" w:hAnsi="Times New Roman" w:cs="Times New Roman"/>
          <w:i/>
          <w:sz w:val="24"/>
          <w:szCs w:val="24"/>
        </w:rPr>
        <w:t xml:space="preserve">Redirection of former Iraqi WMD Scientists through Capacity Building for Decommissioning of Nuclear Facilities, including Site and Radioactive Waste Management.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Kienzle, B. and </w:t>
      </w:r>
      <w:proofErr w:type="spellStart"/>
      <w:r w:rsidRPr="00D11FA2">
        <w:rPr>
          <w:rFonts w:ascii="Times New Roman" w:hAnsi="Times New Roman" w:cs="Times New Roman"/>
          <w:sz w:val="24"/>
          <w:szCs w:val="24"/>
        </w:rPr>
        <w:t>Portela</w:t>
      </w:r>
      <w:proofErr w:type="spellEnd"/>
      <w:r w:rsidRPr="00D11FA2">
        <w:rPr>
          <w:rFonts w:ascii="Times New Roman" w:hAnsi="Times New Roman" w:cs="Times New Roman"/>
          <w:sz w:val="24"/>
          <w:szCs w:val="24"/>
        </w:rPr>
        <w:t>, C. 2015 “</w:t>
      </w:r>
      <w:hyperlink r:id="rId8" w:history="1">
        <w:r w:rsidRPr="00073A51">
          <w:rPr>
            <w:rStyle w:val="Hyperlink"/>
            <w:rFonts w:ascii="Times New Roman" w:hAnsi="Times New Roman" w:cs="Times New Roman"/>
            <w:sz w:val="24"/>
            <w:szCs w:val="24"/>
          </w:rPr>
          <w:t>European Union Non-Proliferation Policies before and after the 2003 Strategy: Continuity and Change</w:t>
        </w:r>
      </w:hyperlink>
      <w:r w:rsidRPr="00073A51">
        <w:rPr>
          <w:rFonts w:ascii="Times New Roman" w:hAnsi="Times New Roman" w:cs="Times New Roman"/>
          <w:sz w:val="24"/>
          <w:szCs w:val="24"/>
        </w:rPr>
        <w:t>” In </w:t>
      </w:r>
      <w:proofErr w:type="gramStart"/>
      <w:r w:rsidRPr="00073A51">
        <w:rPr>
          <w:rFonts w:ascii="Times New Roman" w:hAnsi="Times New Roman" w:cs="Times New Roman"/>
          <w:i/>
          <w:iCs/>
          <w:sz w:val="24"/>
          <w:szCs w:val="24"/>
        </w:rPr>
        <w:t>The</w:t>
      </w:r>
      <w:proofErr w:type="gramEnd"/>
      <w:r w:rsidRPr="00073A51">
        <w:rPr>
          <w:rFonts w:ascii="Times New Roman" w:hAnsi="Times New Roman" w:cs="Times New Roman"/>
          <w:i/>
          <w:iCs/>
          <w:sz w:val="24"/>
          <w:szCs w:val="24"/>
        </w:rPr>
        <w:t xml:space="preserve"> EU and the Non-Proliferation of Nuclear Weapons: Strategies, Policies, Actions. </w:t>
      </w:r>
      <w:proofErr w:type="spellStart"/>
      <w:r w:rsidRPr="00D11FA2">
        <w:rPr>
          <w:rFonts w:ascii="Times New Roman" w:hAnsi="Times New Roman" w:cs="Times New Roman"/>
          <w:sz w:val="24"/>
          <w:szCs w:val="24"/>
        </w:rPr>
        <w:t>Blavoukos</w:t>
      </w:r>
      <w:proofErr w:type="spellEnd"/>
      <w:r w:rsidRPr="00D11FA2">
        <w:rPr>
          <w:rFonts w:ascii="Times New Roman" w:hAnsi="Times New Roman" w:cs="Times New Roman"/>
          <w:sz w:val="24"/>
          <w:szCs w:val="24"/>
        </w:rPr>
        <w:t xml:space="preserve"> S., </w:t>
      </w:r>
      <w:proofErr w:type="spellStart"/>
      <w:r w:rsidRPr="00D11FA2">
        <w:rPr>
          <w:rFonts w:ascii="Times New Roman" w:hAnsi="Times New Roman" w:cs="Times New Roman"/>
          <w:sz w:val="24"/>
          <w:szCs w:val="24"/>
        </w:rPr>
        <w:t>Bourantonis</w:t>
      </w:r>
      <w:proofErr w:type="spellEnd"/>
      <w:r w:rsidRPr="00D11FA2">
        <w:rPr>
          <w:rFonts w:ascii="Times New Roman" w:hAnsi="Times New Roman" w:cs="Times New Roman"/>
          <w:sz w:val="24"/>
          <w:szCs w:val="24"/>
        </w:rPr>
        <w:t xml:space="preserve"> D. and </w:t>
      </w:r>
      <w:proofErr w:type="spellStart"/>
      <w:r w:rsidRPr="00D11FA2">
        <w:rPr>
          <w:rFonts w:ascii="Times New Roman" w:hAnsi="Times New Roman" w:cs="Times New Roman"/>
          <w:sz w:val="24"/>
          <w:szCs w:val="24"/>
        </w:rPr>
        <w:t>Portela</w:t>
      </w:r>
      <w:proofErr w:type="spellEnd"/>
      <w:r w:rsidRPr="00D11FA2">
        <w:rPr>
          <w:rFonts w:ascii="Times New Roman" w:hAnsi="Times New Roman" w:cs="Times New Roman"/>
          <w:sz w:val="24"/>
          <w:szCs w:val="24"/>
        </w:rPr>
        <w:t xml:space="preserve"> C. (eds).</w:t>
      </w:r>
      <w:r w:rsidRPr="00D11FA2">
        <w:rPr>
          <w:rFonts w:ascii="Times New Roman" w:hAnsi="Times New Roman" w:cs="Times New Roman"/>
          <w:i/>
          <w:iCs/>
          <w:sz w:val="24"/>
          <w:szCs w:val="24"/>
        </w:rPr>
        <w:t> </w:t>
      </w:r>
      <w:r w:rsidRPr="00D11FA2">
        <w:rPr>
          <w:rFonts w:ascii="Times New Roman" w:hAnsi="Times New Roman" w:cs="Times New Roman"/>
          <w:sz w:val="24"/>
          <w:szCs w:val="24"/>
        </w:rPr>
        <w:t>London, Palgrave Macmillan.</w:t>
      </w:r>
    </w:p>
    <w:p w:rsidR="005F7F0D" w:rsidRPr="00D11FA2" w:rsidRDefault="005F7F0D" w:rsidP="005F7F0D">
      <w:pPr>
        <w:rPr>
          <w:rFonts w:ascii="Times New Roman" w:hAnsi="Times New Roman" w:cs="Times New Roman"/>
          <w:sz w:val="24"/>
          <w:szCs w:val="24"/>
        </w:rPr>
      </w:pPr>
      <w:proofErr w:type="spellStart"/>
      <w:r w:rsidRPr="00D11FA2">
        <w:rPr>
          <w:rFonts w:ascii="Times New Roman" w:hAnsi="Times New Roman" w:cs="Times New Roman"/>
          <w:sz w:val="24"/>
          <w:szCs w:val="24"/>
        </w:rPr>
        <w:t>Khripunov</w:t>
      </w:r>
      <w:proofErr w:type="spellEnd"/>
      <w:r w:rsidRPr="00D11FA2">
        <w:rPr>
          <w:rFonts w:ascii="Times New Roman" w:hAnsi="Times New Roman" w:cs="Times New Roman"/>
          <w:sz w:val="24"/>
          <w:szCs w:val="24"/>
        </w:rPr>
        <w:t xml:space="preserve">, I., ed. 2014. </w:t>
      </w:r>
      <w:r w:rsidRPr="00D11FA2">
        <w:rPr>
          <w:rFonts w:ascii="Times New Roman" w:hAnsi="Times New Roman" w:cs="Times New Roman"/>
          <w:i/>
          <w:sz w:val="24"/>
          <w:szCs w:val="24"/>
        </w:rPr>
        <w:t xml:space="preserve">The Human Dimension of Security for Radioactive Sources, </w:t>
      </w:r>
      <w:r w:rsidRPr="00D11FA2">
        <w:rPr>
          <w:rFonts w:ascii="Times New Roman" w:hAnsi="Times New Roman" w:cs="Times New Roman"/>
          <w:sz w:val="24"/>
          <w:szCs w:val="24"/>
        </w:rPr>
        <w:t xml:space="preserve">University of Georgia, CITS. </w:t>
      </w:r>
    </w:p>
    <w:p w:rsidR="005F7F0D" w:rsidRPr="008E5D5A" w:rsidRDefault="005F7F0D" w:rsidP="005F7F0D">
      <w:pPr>
        <w:rPr>
          <w:rFonts w:ascii="Times New Roman" w:hAnsi="Times New Roman" w:cs="Times New Roman"/>
          <w:i/>
          <w:sz w:val="24"/>
          <w:szCs w:val="24"/>
        </w:rPr>
      </w:pPr>
      <w:proofErr w:type="spellStart"/>
      <w:proofErr w:type="gramStart"/>
      <w:r w:rsidRPr="00D11FA2">
        <w:rPr>
          <w:rFonts w:ascii="Times New Roman" w:hAnsi="Times New Roman" w:cs="Times New Roman"/>
          <w:sz w:val="24"/>
          <w:szCs w:val="24"/>
        </w:rPr>
        <w:t>Khripunov,I</w:t>
      </w:r>
      <w:proofErr w:type="spellEnd"/>
      <w:proofErr w:type="gramEnd"/>
      <w:r w:rsidRPr="00D11FA2">
        <w:rPr>
          <w:rFonts w:ascii="Times New Roman" w:hAnsi="Times New Roman" w:cs="Times New Roman"/>
          <w:sz w:val="24"/>
          <w:szCs w:val="24"/>
        </w:rPr>
        <w:t xml:space="preserve">, </w:t>
      </w:r>
      <w:proofErr w:type="spellStart"/>
      <w:r w:rsidRPr="00D11FA2">
        <w:rPr>
          <w:rFonts w:ascii="Times New Roman" w:hAnsi="Times New Roman" w:cs="Times New Roman"/>
          <w:sz w:val="24"/>
          <w:szCs w:val="24"/>
        </w:rPr>
        <w:t>Smidovich</w:t>
      </w:r>
      <w:proofErr w:type="spellEnd"/>
      <w:r w:rsidRPr="00D11FA2">
        <w:rPr>
          <w:rFonts w:ascii="Times New Roman" w:hAnsi="Times New Roman" w:cs="Times New Roman"/>
          <w:sz w:val="24"/>
          <w:szCs w:val="24"/>
        </w:rPr>
        <w:t xml:space="preserve">, </w:t>
      </w:r>
      <w:proofErr w:type="spellStart"/>
      <w:r w:rsidRPr="00D11FA2">
        <w:rPr>
          <w:rFonts w:ascii="Times New Roman" w:hAnsi="Times New Roman" w:cs="Times New Roman"/>
          <w:sz w:val="24"/>
          <w:szCs w:val="24"/>
        </w:rPr>
        <w:t>N.and</w:t>
      </w:r>
      <w:proofErr w:type="spellEnd"/>
      <w:r w:rsidRPr="00D11FA2">
        <w:rPr>
          <w:rFonts w:ascii="Times New Roman" w:hAnsi="Times New Roman" w:cs="Times New Roman"/>
          <w:sz w:val="24"/>
          <w:szCs w:val="24"/>
        </w:rPr>
        <w:t xml:space="preserve"> </w:t>
      </w:r>
      <w:proofErr w:type="spellStart"/>
      <w:r w:rsidRPr="00D11FA2">
        <w:rPr>
          <w:rFonts w:ascii="Times New Roman" w:hAnsi="Times New Roman" w:cs="Times New Roman"/>
          <w:sz w:val="24"/>
          <w:szCs w:val="24"/>
        </w:rPr>
        <w:t>Williams,D</w:t>
      </w:r>
      <w:proofErr w:type="spellEnd"/>
      <w:r w:rsidRPr="00D11FA2">
        <w:rPr>
          <w:rFonts w:ascii="Times New Roman" w:hAnsi="Times New Roman" w:cs="Times New Roman"/>
          <w:sz w:val="24"/>
          <w:szCs w:val="24"/>
        </w:rPr>
        <w:t xml:space="preserve">. Bio-risk Management Culture: Concept, Model, Assessment in </w:t>
      </w:r>
      <w:proofErr w:type="spellStart"/>
      <w:r w:rsidRPr="00D11FA2">
        <w:rPr>
          <w:rFonts w:ascii="Times New Roman" w:hAnsi="Times New Roman" w:cs="Times New Roman"/>
          <w:sz w:val="24"/>
          <w:szCs w:val="24"/>
        </w:rPr>
        <w:t>Martellini</w:t>
      </w:r>
      <w:proofErr w:type="spellEnd"/>
      <w:r w:rsidRPr="00D11FA2">
        <w:rPr>
          <w:rFonts w:ascii="Times New Roman" w:hAnsi="Times New Roman" w:cs="Times New Roman"/>
          <w:sz w:val="24"/>
          <w:szCs w:val="24"/>
        </w:rPr>
        <w:t>, M and Rao, J, eds.2017.The risks of skilled scientist radicalisation and emerging biological welfare, IOS Press</w:t>
      </w:r>
      <w:r w:rsidR="008E5D5A" w:rsidRPr="00262F7D">
        <w:rPr>
          <w:rFonts w:ascii="Times New Roman" w:hAnsi="Times New Roman" w:cs="Times New Roman"/>
          <w:sz w:val="24"/>
          <w:szCs w:val="24"/>
        </w:rPr>
        <w:t>.</w:t>
      </w:r>
    </w:p>
    <w:p w:rsidR="005F7F0D" w:rsidRPr="00D11FA2" w:rsidRDefault="005F7F0D" w:rsidP="005F7F0D">
      <w:pPr>
        <w:rPr>
          <w:rFonts w:ascii="Times New Roman" w:hAnsi="Times New Roman" w:cs="Times New Roman"/>
          <w:sz w:val="24"/>
          <w:szCs w:val="24"/>
        </w:rPr>
      </w:pPr>
      <w:proofErr w:type="spellStart"/>
      <w:r w:rsidRPr="00D11FA2">
        <w:rPr>
          <w:rFonts w:ascii="Times New Roman" w:hAnsi="Times New Roman" w:cs="Times New Roman"/>
          <w:sz w:val="24"/>
          <w:szCs w:val="24"/>
        </w:rPr>
        <w:t>Landell</w:t>
      </w:r>
      <w:proofErr w:type="spellEnd"/>
      <w:r w:rsidRPr="00D11FA2">
        <w:rPr>
          <w:rFonts w:ascii="Times New Roman" w:hAnsi="Times New Roman" w:cs="Times New Roman"/>
          <w:sz w:val="24"/>
          <w:szCs w:val="24"/>
        </w:rPr>
        <w:t xml:space="preserve"> Mills. May 2017. “Mid-term Evaluation of the Instrument Contributing to Stability and Peace (</w:t>
      </w:r>
      <w:proofErr w:type="spellStart"/>
      <w:r w:rsidRPr="00D11FA2">
        <w:rPr>
          <w:rFonts w:ascii="Times New Roman" w:hAnsi="Times New Roman" w:cs="Times New Roman"/>
          <w:sz w:val="24"/>
          <w:szCs w:val="24"/>
        </w:rPr>
        <w:t>IcSP</w:t>
      </w:r>
      <w:proofErr w:type="spellEnd"/>
      <w:r w:rsidRPr="00D11FA2">
        <w:rPr>
          <w:rFonts w:ascii="Times New Roman" w:hAnsi="Times New Roman" w:cs="Times New Roman"/>
          <w:sz w:val="24"/>
          <w:szCs w:val="24"/>
        </w:rPr>
        <w:t>),” Final Report.</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Lehman, R. December 2009. “Welcoming Statement,” on the occasion of the Fifteenth Anniversary of International Science and Technology </w:t>
      </w:r>
      <w:proofErr w:type="spellStart"/>
      <w:r w:rsidRPr="00D11FA2">
        <w:rPr>
          <w:rFonts w:ascii="Times New Roman" w:hAnsi="Times New Roman" w:cs="Times New Roman"/>
          <w:sz w:val="24"/>
          <w:szCs w:val="24"/>
        </w:rPr>
        <w:t>Center</w:t>
      </w:r>
      <w:proofErr w:type="spellEnd"/>
      <w:r w:rsidRPr="00D11FA2">
        <w:rPr>
          <w:rFonts w:ascii="Times New Roman" w:hAnsi="Times New Roman" w:cs="Times New Roman"/>
          <w:sz w:val="24"/>
          <w:szCs w:val="24"/>
        </w:rPr>
        <w:t xml:space="preserve"> (ISTC) Operations, Conference on “The Way Forward,” Moscow.</w:t>
      </w:r>
    </w:p>
    <w:p w:rsidR="005F7F0D" w:rsidRPr="00D11FA2" w:rsidRDefault="005F7F0D" w:rsidP="005F7F0D">
      <w:pPr>
        <w:rPr>
          <w:rFonts w:ascii="Times New Roman" w:hAnsi="Times New Roman" w:cs="Times New Roman"/>
          <w:sz w:val="24"/>
          <w:szCs w:val="24"/>
        </w:rPr>
      </w:pPr>
      <w:proofErr w:type="spellStart"/>
      <w:r w:rsidRPr="00D11FA2">
        <w:rPr>
          <w:rFonts w:ascii="Times New Roman" w:hAnsi="Times New Roman" w:cs="Times New Roman"/>
          <w:sz w:val="24"/>
          <w:szCs w:val="24"/>
        </w:rPr>
        <w:t>Limage</w:t>
      </w:r>
      <w:proofErr w:type="spellEnd"/>
      <w:r w:rsidRPr="00D11FA2">
        <w:rPr>
          <w:rFonts w:ascii="Times New Roman" w:hAnsi="Times New Roman" w:cs="Times New Roman"/>
          <w:sz w:val="24"/>
          <w:szCs w:val="24"/>
        </w:rPr>
        <w:t xml:space="preserve">, S. 2017. “U.S. Non- proliferation Programs: Sustaining the Momentum,” </w:t>
      </w:r>
      <w:r w:rsidRPr="00D11FA2">
        <w:rPr>
          <w:rFonts w:ascii="Times New Roman" w:hAnsi="Times New Roman" w:cs="Times New Roman"/>
          <w:i/>
          <w:sz w:val="24"/>
          <w:szCs w:val="24"/>
        </w:rPr>
        <w:t>Arms Control Today</w:t>
      </w:r>
      <w:r w:rsidRPr="00D11FA2">
        <w:rPr>
          <w:rFonts w:ascii="Times New Roman" w:hAnsi="Times New Roman" w:cs="Times New Roman"/>
          <w:sz w:val="24"/>
          <w:szCs w:val="24"/>
        </w:rPr>
        <w:t>.</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Lugar, R. November 2010. Statement at the Annual Conference organized jointly by the Institute of Nuclear Fusion at the Polytechnic University of Madrid and the Lawrence Livermore National Laboratory.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Lugar, R. March 2012. “Nunn-Lugar: Science Cooperation Essential for Non - proliferation Efforts,” </w:t>
      </w:r>
      <w:r w:rsidRPr="00D11FA2">
        <w:rPr>
          <w:rFonts w:ascii="Times New Roman" w:hAnsi="Times New Roman" w:cs="Times New Roman"/>
          <w:i/>
          <w:sz w:val="24"/>
          <w:szCs w:val="24"/>
        </w:rPr>
        <w:t>Science and Diplomacy</w:t>
      </w:r>
      <w:r w:rsidRPr="00D11FA2">
        <w:rPr>
          <w:rFonts w:ascii="Times New Roman" w:hAnsi="Times New Roman" w:cs="Times New Roman"/>
          <w:sz w:val="24"/>
          <w:szCs w:val="24"/>
        </w:rPr>
        <w:t>, 1 (1).</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Lundin, L-E. May 2017. “The European Union and Weapons of Mass Destruction: A Follow-on to the Global Strategy?” </w:t>
      </w:r>
      <w:r w:rsidRPr="00D11FA2">
        <w:rPr>
          <w:rFonts w:ascii="Times New Roman" w:hAnsi="Times New Roman" w:cs="Times New Roman"/>
          <w:i/>
          <w:sz w:val="24"/>
          <w:szCs w:val="24"/>
        </w:rPr>
        <w:t xml:space="preserve">NP paper, </w:t>
      </w:r>
      <w:r w:rsidRPr="00D11FA2">
        <w:rPr>
          <w:rFonts w:ascii="Times New Roman" w:hAnsi="Times New Roman" w:cs="Times New Roman"/>
          <w:sz w:val="24"/>
          <w:szCs w:val="24"/>
        </w:rPr>
        <w:t>58, 13pp.</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Malmstrom, Cecilia. December 2017. “Export Controls: Trading in Dual Use While Securing our Borders,” Speech by European Commissioner for Trade Cecilia Malmstrom.</w:t>
      </w:r>
    </w:p>
    <w:p w:rsidR="005F7F0D" w:rsidRPr="00D11FA2" w:rsidRDefault="005F7F0D" w:rsidP="005F7F0D">
      <w:pPr>
        <w:rPr>
          <w:rFonts w:ascii="Times New Roman" w:hAnsi="Times New Roman" w:cs="Times New Roman"/>
          <w:sz w:val="24"/>
          <w:szCs w:val="24"/>
        </w:rPr>
      </w:pPr>
      <w:proofErr w:type="spellStart"/>
      <w:r w:rsidRPr="00D11FA2">
        <w:rPr>
          <w:rFonts w:ascii="Times New Roman" w:hAnsi="Times New Roman" w:cs="Times New Roman"/>
          <w:sz w:val="24"/>
          <w:szCs w:val="24"/>
        </w:rPr>
        <w:t>Martellini</w:t>
      </w:r>
      <w:proofErr w:type="spellEnd"/>
      <w:r w:rsidRPr="00D11FA2">
        <w:rPr>
          <w:rFonts w:ascii="Times New Roman" w:hAnsi="Times New Roman" w:cs="Times New Roman"/>
          <w:sz w:val="24"/>
          <w:szCs w:val="24"/>
        </w:rPr>
        <w:t xml:space="preserve">, M. ed. November 2010. </w:t>
      </w:r>
      <w:r w:rsidRPr="00D11FA2">
        <w:rPr>
          <w:rFonts w:ascii="Times New Roman" w:hAnsi="Times New Roman" w:cs="Times New Roman"/>
          <w:i/>
          <w:sz w:val="24"/>
          <w:szCs w:val="24"/>
        </w:rPr>
        <w:t xml:space="preserve">Securing Dual Use Expertise: Developing Sustainable Global Engagement and Outreach Programmes, </w:t>
      </w:r>
      <w:r w:rsidRPr="00D11FA2">
        <w:rPr>
          <w:rFonts w:ascii="Times New Roman" w:hAnsi="Times New Roman" w:cs="Times New Roman"/>
          <w:sz w:val="24"/>
          <w:szCs w:val="24"/>
        </w:rPr>
        <w:t>Workshop and Round Table, Como.</w:t>
      </w:r>
    </w:p>
    <w:p w:rsidR="005F7F0D" w:rsidRPr="00D11FA2" w:rsidRDefault="005F7F0D" w:rsidP="005F7F0D">
      <w:pPr>
        <w:rPr>
          <w:rFonts w:ascii="Times New Roman" w:hAnsi="Times New Roman" w:cs="Times New Roman"/>
          <w:sz w:val="24"/>
          <w:szCs w:val="24"/>
        </w:rPr>
      </w:pPr>
      <w:r w:rsidRPr="0000662E">
        <w:rPr>
          <w:rFonts w:ascii="Times New Roman" w:hAnsi="Times New Roman" w:cs="Times New Roman"/>
          <w:sz w:val="24"/>
          <w:szCs w:val="24"/>
          <w:lang w:val="nl-NL"/>
        </w:rPr>
        <w:t xml:space="preserve">Martellini, M. and Van der Meer, A. 2012. </w:t>
      </w:r>
      <w:r w:rsidRPr="00073A51">
        <w:rPr>
          <w:rFonts w:ascii="Times New Roman" w:hAnsi="Times New Roman" w:cs="Times New Roman"/>
          <w:sz w:val="24"/>
          <w:szCs w:val="24"/>
        </w:rPr>
        <w:t xml:space="preserve">“A Duty of Care,” </w:t>
      </w:r>
      <w:r w:rsidRPr="00073A51">
        <w:rPr>
          <w:rFonts w:ascii="Times New Roman" w:hAnsi="Times New Roman" w:cs="Times New Roman"/>
          <w:i/>
          <w:sz w:val="24"/>
          <w:szCs w:val="24"/>
        </w:rPr>
        <w:t xml:space="preserve">Public Service Review: European Science and Technology, </w:t>
      </w:r>
      <w:r w:rsidRPr="00D11FA2">
        <w:rPr>
          <w:rFonts w:ascii="Times New Roman" w:hAnsi="Times New Roman" w:cs="Times New Roman"/>
          <w:sz w:val="24"/>
          <w:szCs w:val="24"/>
        </w:rPr>
        <w:t>16.</w:t>
      </w:r>
    </w:p>
    <w:p w:rsidR="005F7F0D" w:rsidRPr="008E5D5A" w:rsidRDefault="005F7F0D" w:rsidP="005F7F0D">
      <w:pPr>
        <w:rPr>
          <w:rFonts w:ascii="Times New Roman" w:hAnsi="Times New Roman" w:cs="Times New Roman"/>
          <w:sz w:val="24"/>
          <w:szCs w:val="24"/>
        </w:rPr>
      </w:pPr>
      <w:proofErr w:type="spellStart"/>
      <w:r w:rsidRPr="00D11FA2">
        <w:rPr>
          <w:rFonts w:ascii="Times New Roman" w:hAnsi="Times New Roman" w:cs="Times New Roman"/>
          <w:sz w:val="24"/>
          <w:szCs w:val="24"/>
        </w:rPr>
        <w:lastRenderedPageBreak/>
        <w:t>Martellini</w:t>
      </w:r>
      <w:proofErr w:type="spellEnd"/>
      <w:r w:rsidRPr="00D11FA2">
        <w:rPr>
          <w:rFonts w:ascii="Times New Roman" w:hAnsi="Times New Roman" w:cs="Times New Roman"/>
          <w:sz w:val="24"/>
          <w:szCs w:val="24"/>
        </w:rPr>
        <w:t>, M and Rao, J, eds.2017.The risks of skilled scientist radicalisation and emerging biological welfare, IOS Press</w:t>
      </w:r>
      <w:r w:rsidR="008E5D5A" w:rsidRPr="00262F7D">
        <w:rPr>
          <w:rFonts w:ascii="Times New Roman" w:hAnsi="Times New Roman" w:cs="Times New Roman"/>
          <w:sz w:val="24"/>
          <w:szCs w:val="24"/>
        </w:rPr>
        <w:t>.</w:t>
      </w:r>
    </w:p>
    <w:p w:rsidR="005F7F0D" w:rsidRPr="00D11FA2" w:rsidRDefault="005F7F0D" w:rsidP="005F7F0D">
      <w:pPr>
        <w:rPr>
          <w:rFonts w:ascii="Times New Roman" w:hAnsi="Times New Roman" w:cs="Times New Roman"/>
          <w:sz w:val="24"/>
          <w:szCs w:val="24"/>
        </w:rPr>
      </w:pPr>
      <w:r w:rsidRPr="0000662E">
        <w:rPr>
          <w:rFonts w:ascii="Times New Roman" w:hAnsi="Times New Roman" w:cs="Times New Roman"/>
          <w:sz w:val="24"/>
          <w:szCs w:val="24"/>
          <w:lang w:val="nl-NL"/>
        </w:rPr>
        <w:t>Meer,</w:t>
      </w:r>
      <w:r w:rsidR="004D3250" w:rsidRPr="0000662E">
        <w:rPr>
          <w:rFonts w:ascii="Times New Roman" w:hAnsi="Times New Roman" w:cs="Times New Roman"/>
          <w:sz w:val="24"/>
          <w:szCs w:val="24"/>
          <w:lang w:val="nl-NL"/>
        </w:rPr>
        <w:t xml:space="preserve"> </w:t>
      </w:r>
      <w:r w:rsidRPr="0000662E">
        <w:rPr>
          <w:rFonts w:ascii="Times New Roman" w:hAnsi="Times New Roman" w:cs="Times New Roman"/>
          <w:sz w:val="24"/>
          <w:szCs w:val="24"/>
          <w:lang w:val="nl-NL"/>
        </w:rPr>
        <w:t xml:space="preserve">van der, A. October 2008. </w:t>
      </w:r>
      <w:r w:rsidRPr="00073A51">
        <w:rPr>
          <w:rFonts w:ascii="Times New Roman" w:hAnsi="Times New Roman" w:cs="Times New Roman"/>
          <w:sz w:val="24"/>
          <w:szCs w:val="24"/>
        </w:rPr>
        <w:t xml:space="preserve">Lecture on “The International Policy on Non-Proliferation and the International Science and Technology </w:t>
      </w:r>
      <w:proofErr w:type="spellStart"/>
      <w:r w:rsidRPr="00073A51">
        <w:rPr>
          <w:rFonts w:ascii="Times New Roman" w:hAnsi="Times New Roman" w:cs="Times New Roman"/>
          <w:sz w:val="24"/>
          <w:szCs w:val="24"/>
        </w:rPr>
        <w:t>Center</w:t>
      </w:r>
      <w:proofErr w:type="spellEnd"/>
      <w:r w:rsidRPr="00073A51">
        <w:rPr>
          <w:rFonts w:ascii="Times New Roman" w:hAnsi="Times New Roman" w:cs="Times New Roman"/>
          <w:sz w:val="24"/>
          <w:szCs w:val="24"/>
        </w:rPr>
        <w:t>,” Japan Institute of International Affairs.</w:t>
      </w:r>
    </w:p>
    <w:p w:rsidR="005F7F0D" w:rsidRPr="00D11FA2" w:rsidRDefault="005F7F0D" w:rsidP="005F7F0D">
      <w:pPr>
        <w:rPr>
          <w:rFonts w:ascii="Times New Roman" w:hAnsi="Times New Roman" w:cs="Times New Roman"/>
          <w:sz w:val="24"/>
          <w:szCs w:val="24"/>
        </w:rPr>
      </w:pPr>
      <w:r w:rsidRPr="0000662E">
        <w:rPr>
          <w:rFonts w:ascii="Times New Roman" w:hAnsi="Times New Roman" w:cs="Times New Roman"/>
          <w:sz w:val="24"/>
          <w:szCs w:val="24"/>
          <w:lang w:val="nl-NL"/>
        </w:rPr>
        <w:t>Meer, van der,</w:t>
      </w:r>
      <w:r w:rsidR="004D3250" w:rsidRPr="0000662E">
        <w:rPr>
          <w:rFonts w:ascii="Times New Roman" w:hAnsi="Times New Roman" w:cs="Times New Roman"/>
          <w:sz w:val="24"/>
          <w:szCs w:val="24"/>
          <w:lang w:val="nl-NL"/>
        </w:rPr>
        <w:t xml:space="preserve"> </w:t>
      </w:r>
      <w:r w:rsidRPr="0000662E">
        <w:rPr>
          <w:rFonts w:ascii="Times New Roman" w:hAnsi="Times New Roman" w:cs="Times New Roman"/>
          <w:sz w:val="24"/>
          <w:szCs w:val="24"/>
          <w:lang w:val="nl-NL"/>
        </w:rPr>
        <w:t xml:space="preserve">A. October 2009. </w:t>
      </w:r>
      <w:r w:rsidRPr="00073A51">
        <w:rPr>
          <w:rFonts w:ascii="Times New Roman" w:hAnsi="Times New Roman" w:cs="Times New Roman"/>
          <w:sz w:val="24"/>
          <w:szCs w:val="24"/>
        </w:rPr>
        <w:t xml:space="preserve">“ISTC: Lessons Learned,” contribution to workshop on “Sustainable Scientists Engagement Worldwide,” Rome. </w:t>
      </w:r>
    </w:p>
    <w:p w:rsidR="005F7F0D" w:rsidRPr="00D11FA2" w:rsidRDefault="005F7F0D" w:rsidP="005F7F0D">
      <w:pPr>
        <w:rPr>
          <w:rFonts w:ascii="Times New Roman" w:hAnsi="Times New Roman" w:cs="Times New Roman"/>
          <w:sz w:val="24"/>
          <w:szCs w:val="24"/>
        </w:rPr>
      </w:pPr>
      <w:r w:rsidRPr="00653362">
        <w:rPr>
          <w:rFonts w:ascii="Times New Roman" w:hAnsi="Times New Roman" w:cs="Times New Roman"/>
          <w:sz w:val="24"/>
          <w:szCs w:val="24"/>
          <w:lang w:val="de-AT"/>
        </w:rPr>
        <w:t xml:space="preserve">Meer, van der, A. November 2010. </w:t>
      </w:r>
      <w:r w:rsidRPr="00073A51">
        <w:rPr>
          <w:rFonts w:ascii="Times New Roman" w:hAnsi="Times New Roman" w:cs="Times New Roman"/>
          <w:sz w:val="24"/>
          <w:szCs w:val="24"/>
        </w:rPr>
        <w:t>Remarks in panel discussion on “The Role of the Scientific Community in Global Security Engagement,” First Internat</w:t>
      </w:r>
      <w:r w:rsidRPr="00D11FA2">
        <w:rPr>
          <w:rFonts w:ascii="Times New Roman" w:hAnsi="Times New Roman" w:cs="Times New Roman"/>
          <w:sz w:val="24"/>
          <w:szCs w:val="24"/>
        </w:rPr>
        <w:t>ional Conference on Science and International Security, Madrid.</w:t>
      </w:r>
    </w:p>
    <w:p w:rsidR="005F7F0D" w:rsidRPr="00D11FA2" w:rsidRDefault="005F7F0D" w:rsidP="005F7F0D">
      <w:pPr>
        <w:rPr>
          <w:rFonts w:ascii="Times New Roman" w:hAnsi="Times New Roman" w:cs="Times New Roman"/>
          <w:sz w:val="24"/>
          <w:szCs w:val="24"/>
        </w:rPr>
      </w:pPr>
      <w:r w:rsidRPr="0000662E">
        <w:rPr>
          <w:rFonts w:ascii="Times New Roman" w:hAnsi="Times New Roman" w:cs="Times New Roman"/>
          <w:sz w:val="24"/>
          <w:szCs w:val="24"/>
          <w:lang w:val="nl-NL"/>
        </w:rPr>
        <w:t xml:space="preserve">Meer, van der, A. and Aspidi, A. 2017. </w:t>
      </w:r>
      <w:r w:rsidRPr="00073A51">
        <w:rPr>
          <w:rFonts w:ascii="Times New Roman" w:hAnsi="Times New Roman" w:cs="Times New Roman"/>
          <w:sz w:val="24"/>
          <w:szCs w:val="24"/>
        </w:rPr>
        <w:t xml:space="preserve">“Security, Development and Governance: CBRN and Cyber in Africa,” in Maurizio </w:t>
      </w:r>
      <w:proofErr w:type="spellStart"/>
      <w:r w:rsidRPr="00073A51">
        <w:rPr>
          <w:rFonts w:ascii="Times New Roman" w:hAnsi="Times New Roman" w:cs="Times New Roman"/>
          <w:sz w:val="24"/>
          <w:szCs w:val="24"/>
        </w:rPr>
        <w:t>Martellini</w:t>
      </w:r>
      <w:proofErr w:type="spellEnd"/>
      <w:r w:rsidRPr="00073A51">
        <w:rPr>
          <w:rFonts w:ascii="Times New Roman" w:hAnsi="Times New Roman" w:cs="Times New Roman"/>
          <w:sz w:val="24"/>
          <w:szCs w:val="24"/>
        </w:rPr>
        <w:t xml:space="preserve"> and Andrea </w:t>
      </w:r>
      <w:proofErr w:type="spellStart"/>
      <w:r w:rsidRPr="00073A51">
        <w:rPr>
          <w:rFonts w:ascii="Times New Roman" w:hAnsi="Times New Roman" w:cs="Times New Roman"/>
          <w:sz w:val="24"/>
          <w:szCs w:val="24"/>
        </w:rPr>
        <w:t>Malizia</w:t>
      </w:r>
      <w:proofErr w:type="spellEnd"/>
      <w:r w:rsidRPr="00073A51">
        <w:rPr>
          <w:rFonts w:ascii="Times New Roman" w:hAnsi="Times New Roman" w:cs="Times New Roman"/>
          <w:sz w:val="24"/>
          <w:szCs w:val="24"/>
        </w:rPr>
        <w:t xml:space="preserve">, eds., </w:t>
      </w:r>
      <w:r w:rsidRPr="00D11FA2">
        <w:rPr>
          <w:rFonts w:ascii="Times New Roman" w:hAnsi="Times New Roman" w:cs="Times New Roman"/>
          <w:i/>
          <w:sz w:val="24"/>
          <w:szCs w:val="24"/>
        </w:rPr>
        <w:t xml:space="preserve">Cyber and Chemical, Biological, Nuclear, Explosives Challenges, Threats and Counter Efforts, </w:t>
      </w:r>
      <w:r w:rsidRPr="00D11FA2">
        <w:rPr>
          <w:rFonts w:ascii="Times New Roman" w:hAnsi="Times New Roman" w:cs="Times New Roman"/>
          <w:sz w:val="24"/>
          <w:szCs w:val="24"/>
        </w:rPr>
        <w:t xml:space="preserve">Springer Verlag. </w:t>
      </w:r>
    </w:p>
    <w:p w:rsidR="005F7F0D" w:rsidRPr="008E5D5A" w:rsidRDefault="005F7F0D" w:rsidP="005F7F0D">
      <w:pPr>
        <w:rPr>
          <w:rFonts w:ascii="Times New Roman" w:hAnsi="Times New Roman" w:cs="Times New Roman"/>
          <w:sz w:val="24"/>
          <w:szCs w:val="24"/>
        </w:rPr>
      </w:pPr>
      <w:r w:rsidRPr="0000662E">
        <w:rPr>
          <w:rFonts w:ascii="Times New Roman" w:hAnsi="Times New Roman" w:cs="Times New Roman"/>
          <w:sz w:val="24"/>
          <w:szCs w:val="24"/>
          <w:lang w:val="nl-NL"/>
        </w:rPr>
        <w:t xml:space="preserve">Meer,van der, A. And Lehofer,W. 2017. </w:t>
      </w:r>
      <w:r w:rsidRPr="00073A51">
        <w:rPr>
          <w:rFonts w:ascii="Times New Roman" w:hAnsi="Times New Roman" w:cs="Times New Roman"/>
          <w:sz w:val="24"/>
          <w:szCs w:val="24"/>
        </w:rPr>
        <w:t xml:space="preserve">“EU Export Control Outreach: Quo Vadis,” in Quentin Michel and Wolfgang </w:t>
      </w:r>
      <w:proofErr w:type="spellStart"/>
      <w:r w:rsidRPr="00073A51">
        <w:rPr>
          <w:rFonts w:ascii="Times New Roman" w:hAnsi="Times New Roman" w:cs="Times New Roman"/>
          <w:sz w:val="24"/>
          <w:szCs w:val="24"/>
        </w:rPr>
        <w:t>Lehofer</w:t>
      </w:r>
      <w:proofErr w:type="spellEnd"/>
      <w:r w:rsidRPr="00073A51">
        <w:rPr>
          <w:rFonts w:ascii="Times New Roman" w:hAnsi="Times New Roman" w:cs="Times New Roman"/>
          <w:sz w:val="24"/>
          <w:szCs w:val="24"/>
        </w:rPr>
        <w:t xml:space="preserve">, eds., </w:t>
      </w:r>
      <w:r w:rsidRPr="00D11FA2">
        <w:rPr>
          <w:rFonts w:ascii="Times New Roman" w:hAnsi="Times New Roman" w:cs="Times New Roman"/>
          <w:i/>
          <w:sz w:val="24"/>
          <w:szCs w:val="24"/>
        </w:rPr>
        <w:t xml:space="preserve">Incentives of Europe for Non-Proliferation Outreach Activities, </w:t>
      </w:r>
      <w:r w:rsidRPr="00D11FA2">
        <w:rPr>
          <w:rFonts w:ascii="Times New Roman" w:hAnsi="Times New Roman" w:cs="Times New Roman"/>
          <w:sz w:val="24"/>
          <w:szCs w:val="24"/>
        </w:rPr>
        <w:t>European Studies Unity, University of Liege</w:t>
      </w:r>
      <w:r w:rsidR="008E5D5A" w:rsidRPr="00262F7D">
        <w:rPr>
          <w:rFonts w:ascii="Times New Roman" w:hAnsi="Times New Roman" w:cs="Times New Roman"/>
          <w:sz w:val="24"/>
          <w:szCs w:val="24"/>
        </w:rPr>
        <w:t>.</w:t>
      </w:r>
    </w:p>
    <w:p w:rsidR="005F7F0D" w:rsidRPr="00D11FA2" w:rsidRDefault="005F7F0D" w:rsidP="005F7F0D">
      <w:pPr>
        <w:rPr>
          <w:rFonts w:ascii="Times New Roman" w:hAnsi="Times New Roman" w:cs="Times New Roman"/>
          <w:sz w:val="24"/>
          <w:szCs w:val="24"/>
        </w:rPr>
      </w:pPr>
      <w:proofErr w:type="spellStart"/>
      <w:r w:rsidRPr="00D11FA2">
        <w:rPr>
          <w:rFonts w:ascii="Times New Roman" w:hAnsi="Times New Roman" w:cs="Times New Roman"/>
          <w:sz w:val="24"/>
          <w:szCs w:val="24"/>
        </w:rPr>
        <w:t>Murauskaite</w:t>
      </w:r>
      <w:proofErr w:type="spellEnd"/>
      <w:r w:rsidRPr="00D11FA2">
        <w:rPr>
          <w:rFonts w:ascii="Times New Roman" w:hAnsi="Times New Roman" w:cs="Times New Roman"/>
          <w:sz w:val="24"/>
          <w:szCs w:val="24"/>
        </w:rPr>
        <w:t xml:space="preserve">, E. 2014. “The Scientist and the Nuclear Smuggler: Unexpected Connection,” </w:t>
      </w:r>
      <w:r w:rsidRPr="00D11FA2">
        <w:rPr>
          <w:rFonts w:ascii="Times New Roman" w:hAnsi="Times New Roman" w:cs="Times New Roman"/>
          <w:i/>
          <w:sz w:val="24"/>
          <w:szCs w:val="24"/>
        </w:rPr>
        <w:t xml:space="preserve">Bulletin of the Atomic Scientists.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 Prescott, E. 2007. “UNSCR 1540 and the Scientific Community as a Non-State Actor,” in Olivia Bosch and Peter van Ham, eds., </w:t>
      </w:r>
      <w:r w:rsidRPr="00D11FA2">
        <w:rPr>
          <w:rFonts w:ascii="Times New Roman" w:hAnsi="Times New Roman" w:cs="Times New Roman"/>
          <w:i/>
          <w:sz w:val="24"/>
          <w:szCs w:val="24"/>
        </w:rPr>
        <w:t xml:space="preserve">Global Non-Proliferation and Counter-Terrorism. The Impact of UNSCR 1540, </w:t>
      </w:r>
      <w:proofErr w:type="spellStart"/>
      <w:r w:rsidRPr="00D11FA2">
        <w:rPr>
          <w:rFonts w:ascii="Times New Roman" w:hAnsi="Times New Roman" w:cs="Times New Roman"/>
          <w:sz w:val="24"/>
          <w:szCs w:val="24"/>
        </w:rPr>
        <w:t>Clingendael</w:t>
      </w:r>
      <w:proofErr w:type="spellEnd"/>
      <w:r w:rsidRPr="00D11FA2">
        <w:rPr>
          <w:rFonts w:ascii="Times New Roman" w:hAnsi="Times New Roman" w:cs="Times New Roman"/>
          <w:sz w:val="24"/>
          <w:szCs w:val="24"/>
        </w:rPr>
        <w:t xml:space="preserve"> Institute.</w:t>
      </w:r>
    </w:p>
    <w:p w:rsidR="005F7F0D" w:rsidRPr="00D11FA2" w:rsidRDefault="005F7F0D" w:rsidP="005F7F0D">
      <w:pPr>
        <w:rPr>
          <w:rFonts w:ascii="Times New Roman" w:hAnsi="Times New Roman" w:cs="Times New Roman"/>
          <w:sz w:val="24"/>
          <w:szCs w:val="24"/>
        </w:rPr>
      </w:pPr>
      <w:proofErr w:type="spellStart"/>
      <w:proofErr w:type="gramStart"/>
      <w:r w:rsidRPr="00D11FA2">
        <w:rPr>
          <w:rFonts w:ascii="Times New Roman" w:hAnsi="Times New Roman" w:cs="Times New Roman"/>
          <w:sz w:val="24"/>
          <w:szCs w:val="24"/>
        </w:rPr>
        <w:t>Schweitzer,G</w:t>
      </w:r>
      <w:proofErr w:type="spellEnd"/>
      <w:r w:rsidRPr="00D11FA2">
        <w:rPr>
          <w:rFonts w:ascii="Times New Roman" w:hAnsi="Times New Roman" w:cs="Times New Roman"/>
          <w:sz w:val="24"/>
          <w:szCs w:val="24"/>
        </w:rPr>
        <w:t>.</w:t>
      </w:r>
      <w:proofErr w:type="gramEnd"/>
      <w:r w:rsidRPr="00D11FA2">
        <w:rPr>
          <w:rFonts w:ascii="Times New Roman" w:hAnsi="Times New Roman" w:cs="Times New Roman"/>
          <w:sz w:val="24"/>
          <w:szCs w:val="24"/>
        </w:rPr>
        <w:t xml:space="preserve"> 1996. Moscow DMZ: The Story of the International Effort to Convert Russian Weapons Science to Peaceful </w:t>
      </w:r>
      <w:proofErr w:type="spellStart"/>
      <w:proofErr w:type="gramStart"/>
      <w:r w:rsidRPr="00D11FA2">
        <w:rPr>
          <w:rFonts w:ascii="Times New Roman" w:hAnsi="Times New Roman" w:cs="Times New Roman"/>
          <w:sz w:val="24"/>
          <w:szCs w:val="24"/>
        </w:rPr>
        <w:t>Purposes,M</w:t>
      </w:r>
      <w:proofErr w:type="gramEnd"/>
      <w:r w:rsidRPr="00D11FA2">
        <w:rPr>
          <w:rFonts w:ascii="Times New Roman" w:hAnsi="Times New Roman" w:cs="Times New Roman"/>
          <w:sz w:val="24"/>
          <w:szCs w:val="24"/>
        </w:rPr>
        <w:t>.E.Sharpe</w:t>
      </w:r>
      <w:proofErr w:type="spellEnd"/>
      <w:r w:rsidRPr="00D11FA2">
        <w:rPr>
          <w:rFonts w:ascii="Times New Roman" w:hAnsi="Times New Roman" w:cs="Times New Roman"/>
          <w:sz w:val="24"/>
          <w:szCs w:val="24"/>
        </w:rPr>
        <w:t>.</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Schweitzer, G. 2004. </w:t>
      </w:r>
      <w:r w:rsidRPr="00D11FA2">
        <w:rPr>
          <w:rFonts w:ascii="Times New Roman" w:hAnsi="Times New Roman" w:cs="Times New Roman"/>
          <w:i/>
          <w:sz w:val="24"/>
          <w:szCs w:val="24"/>
        </w:rPr>
        <w:t xml:space="preserve">Scientists, Engineers and Track-Two Diplomacy: A Half-Century of U.S. – Russian </w:t>
      </w:r>
      <w:proofErr w:type="spellStart"/>
      <w:r w:rsidRPr="00D11FA2">
        <w:rPr>
          <w:rFonts w:ascii="Times New Roman" w:hAnsi="Times New Roman" w:cs="Times New Roman"/>
          <w:i/>
          <w:sz w:val="24"/>
          <w:szCs w:val="24"/>
        </w:rPr>
        <w:t>Interacademy</w:t>
      </w:r>
      <w:proofErr w:type="spellEnd"/>
      <w:r w:rsidRPr="00D11FA2">
        <w:rPr>
          <w:rFonts w:ascii="Times New Roman" w:hAnsi="Times New Roman" w:cs="Times New Roman"/>
          <w:i/>
          <w:sz w:val="24"/>
          <w:szCs w:val="24"/>
        </w:rPr>
        <w:t xml:space="preserve"> Cooperation, </w:t>
      </w:r>
      <w:r w:rsidRPr="00D11FA2">
        <w:rPr>
          <w:rFonts w:ascii="Times New Roman" w:hAnsi="Times New Roman" w:cs="Times New Roman"/>
          <w:sz w:val="24"/>
          <w:szCs w:val="24"/>
        </w:rPr>
        <w:t>National Research Council, Policy and Global Affairs, National Academies Press.</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Schweitzer, G. 2013.</w:t>
      </w:r>
      <w:r w:rsidRPr="00D11FA2">
        <w:rPr>
          <w:rFonts w:ascii="Times New Roman" w:hAnsi="Times New Roman" w:cs="Times New Roman"/>
          <w:i/>
          <w:sz w:val="24"/>
          <w:szCs w:val="24"/>
        </w:rPr>
        <w:t xml:space="preserve">Containing Russia's Nuclear Firebirds. Harmony and Change at the International Science and Technology </w:t>
      </w:r>
      <w:proofErr w:type="spellStart"/>
      <w:r w:rsidRPr="00D11FA2">
        <w:rPr>
          <w:rFonts w:ascii="Times New Roman" w:hAnsi="Times New Roman" w:cs="Times New Roman"/>
          <w:i/>
          <w:sz w:val="24"/>
          <w:szCs w:val="24"/>
        </w:rPr>
        <w:t>Center</w:t>
      </w:r>
      <w:proofErr w:type="spellEnd"/>
      <w:r w:rsidRPr="00D11FA2">
        <w:rPr>
          <w:rFonts w:ascii="Times New Roman" w:hAnsi="Times New Roman" w:cs="Times New Roman"/>
          <w:i/>
          <w:sz w:val="24"/>
          <w:szCs w:val="24"/>
        </w:rPr>
        <w:t>, Studies in Security and International Affairs, U</w:t>
      </w:r>
      <w:r w:rsidRPr="00D11FA2">
        <w:rPr>
          <w:rFonts w:ascii="Times New Roman" w:hAnsi="Times New Roman" w:cs="Times New Roman"/>
          <w:sz w:val="24"/>
          <w:szCs w:val="24"/>
        </w:rPr>
        <w:t>niversity of Georgia Press.</w:t>
      </w:r>
    </w:p>
    <w:p w:rsidR="005F7F0D" w:rsidRPr="00073A51"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Stewart, I.J. and </w:t>
      </w:r>
      <w:proofErr w:type="spellStart"/>
      <w:r w:rsidRPr="00D11FA2">
        <w:rPr>
          <w:rFonts w:ascii="Times New Roman" w:hAnsi="Times New Roman" w:cs="Times New Roman"/>
          <w:sz w:val="24"/>
          <w:szCs w:val="24"/>
        </w:rPr>
        <w:t>Nayan</w:t>
      </w:r>
      <w:proofErr w:type="spellEnd"/>
      <w:r w:rsidRPr="00D11FA2">
        <w:rPr>
          <w:rFonts w:ascii="Times New Roman" w:hAnsi="Times New Roman" w:cs="Times New Roman"/>
          <w:sz w:val="24"/>
          <w:szCs w:val="24"/>
        </w:rPr>
        <w:t xml:space="preserve">, R. 2014. </w:t>
      </w:r>
      <w:r w:rsidRPr="008E5D5A">
        <w:rPr>
          <w:rFonts w:ascii="Times New Roman" w:hAnsi="Times New Roman" w:cs="Times New Roman"/>
          <w:sz w:val="24"/>
          <w:szCs w:val="24"/>
        </w:rPr>
        <w:t>“</w:t>
      </w:r>
      <w:hyperlink r:id="rId9" w:tooltip="1540: 10 years on: Opportunities, Challenges and Effective Practices for the Resolution’s Implementation" w:history="1">
        <w:r w:rsidRPr="00262F7D">
          <w:rPr>
            <w:rStyle w:val="Hyperlink"/>
            <w:rFonts w:ascii="Times New Roman" w:hAnsi="Times New Roman" w:cs="Times New Roman"/>
            <w:color w:val="auto"/>
            <w:sz w:val="24"/>
            <w:szCs w:val="24"/>
            <w:u w:val="none"/>
          </w:rPr>
          <w:t>1540: 10 years on: Opportunities, Challenges and Effective Practices for the Resolution’s Implementation</w:t>
        </w:r>
      </w:hyperlink>
      <w:r w:rsidRPr="008E5D5A">
        <w:rPr>
          <w:rFonts w:ascii="Times New Roman" w:hAnsi="Times New Roman" w:cs="Times New Roman"/>
          <w:sz w:val="24"/>
          <w:szCs w:val="24"/>
        </w:rPr>
        <w:t>”</w:t>
      </w:r>
      <w:r w:rsidRPr="00073A51">
        <w:rPr>
          <w:rFonts w:ascii="Times New Roman" w:hAnsi="Times New Roman" w:cs="Times New Roman"/>
          <w:sz w:val="24"/>
          <w:szCs w:val="24"/>
        </w:rPr>
        <w:t> </w:t>
      </w:r>
      <w:r w:rsidRPr="00073A51">
        <w:rPr>
          <w:rFonts w:ascii="Times New Roman" w:hAnsi="Times New Roman" w:cs="Times New Roman"/>
          <w:i/>
          <w:iCs/>
          <w:sz w:val="24"/>
          <w:szCs w:val="24"/>
        </w:rPr>
        <w:t>CSSS Occasional Paper.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Trapp, R. February 2017. “The EU's CBRN Centres of Excellence Initiative after 6 Years,” </w:t>
      </w:r>
      <w:r w:rsidRPr="00D11FA2">
        <w:rPr>
          <w:rFonts w:ascii="Times New Roman" w:hAnsi="Times New Roman" w:cs="Times New Roman"/>
          <w:i/>
          <w:sz w:val="24"/>
          <w:szCs w:val="24"/>
        </w:rPr>
        <w:t xml:space="preserve">NP paper, </w:t>
      </w:r>
      <w:r w:rsidRPr="00D11FA2">
        <w:rPr>
          <w:rFonts w:ascii="Times New Roman" w:hAnsi="Times New Roman" w:cs="Times New Roman"/>
          <w:sz w:val="24"/>
          <w:szCs w:val="24"/>
        </w:rPr>
        <w:t>55, 15pp.</w:t>
      </w:r>
    </w:p>
    <w:p w:rsidR="005F7F0D" w:rsidRPr="008E5D5A"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United Nations, 2016. Report: the 2016 Comprehensive Review of the status of implementation of Resolution 1540 (2004)</w:t>
      </w:r>
      <w:r w:rsidR="008E5D5A" w:rsidRPr="00262F7D">
        <w:rPr>
          <w:rFonts w:ascii="Times New Roman" w:hAnsi="Times New Roman" w:cs="Times New Roman"/>
          <w:sz w:val="24"/>
          <w:szCs w:val="24"/>
        </w:rPr>
        <w:t>.</w:t>
      </w:r>
    </w:p>
    <w:p w:rsidR="005F7F0D" w:rsidRPr="00D11FA2" w:rsidRDefault="005F7F0D" w:rsidP="005F7F0D">
      <w:pPr>
        <w:rPr>
          <w:rFonts w:ascii="Times New Roman" w:hAnsi="Times New Roman" w:cs="Times New Roman"/>
          <w:i/>
          <w:sz w:val="24"/>
          <w:szCs w:val="24"/>
        </w:rPr>
      </w:pPr>
      <w:r w:rsidRPr="00D11FA2">
        <w:rPr>
          <w:rFonts w:ascii="Times New Roman" w:hAnsi="Times New Roman" w:cs="Times New Roman"/>
          <w:sz w:val="24"/>
          <w:szCs w:val="24"/>
        </w:rPr>
        <w:t xml:space="preserve">U.S. Department of Energy, National Nuclear Security Administration. March 2015. Report to Congress, </w:t>
      </w:r>
      <w:r w:rsidRPr="00D11FA2">
        <w:rPr>
          <w:rFonts w:ascii="Times New Roman" w:hAnsi="Times New Roman" w:cs="Times New Roman"/>
          <w:i/>
          <w:sz w:val="24"/>
          <w:szCs w:val="24"/>
        </w:rPr>
        <w:t xml:space="preserve">Prevent, Counter, and Respond – A Strategic Plan to Reduce Global Nuclear Threats (FY 2016 – FY 2020).  </w:t>
      </w:r>
    </w:p>
    <w:p w:rsidR="005F7F0D" w:rsidRPr="00D11FA2" w:rsidRDefault="005F7F0D" w:rsidP="005F7F0D">
      <w:pPr>
        <w:rPr>
          <w:rFonts w:ascii="Times New Roman" w:hAnsi="Times New Roman" w:cs="Times New Roman"/>
          <w:i/>
          <w:sz w:val="24"/>
          <w:szCs w:val="24"/>
        </w:rPr>
      </w:pPr>
      <w:r w:rsidRPr="00D11FA2">
        <w:rPr>
          <w:rFonts w:ascii="Times New Roman" w:hAnsi="Times New Roman" w:cs="Times New Roman"/>
          <w:sz w:val="24"/>
          <w:szCs w:val="24"/>
        </w:rPr>
        <w:lastRenderedPageBreak/>
        <w:t xml:space="preserve">U.S. Department of Energy, National Nuclear Security Administration. November 2017. Report to Congress, </w:t>
      </w:r>
      <w:r w:rsidRPr="00D11FA2">
        <w:rPr>
          <w:rFonts w:ascii="Times New Roman" w:hAnsi="Times New Roman" w:cs="Times New Roman"/>
          <w:i/>
          <w:sz w:val="24"/>
          <w:szCs w:val="24"/>
        </w:rPr>
        <w:t xml:space="preserve">Prevent, Counter, and Respond – A Strategic Plan to Reduce Global Nuclear Threats (FY 2018 – FY 2022).  </w:t>
      </w:r>
    </w:p>
    <w:p w:rsidR="005F7F0D" w:rsidRPr="00D11FA2" w:rsidRDefault="005F7F0D" w:rsidP="005F7F0D">
      <w:pPr>
        <w:rPr>
          <w:rFonts w:ascii="Times New Roman" w:hAnsi="Times New Roman" w:cs="Times New Roman"/>
          <w:sz w:val="24"/>
          <w:szCs w:val="24"/>
        </w:rPr>
      </w:pPr>
      <w:r w:rsidRPr="00D11FA2">
        <w:rPr>
          <w:rFonts w:ascii="Times New Roman" w:hAnsi="Times New Roman" w:cs="Times New Roman"/>
          <w:sz w:val="24"/>
          <w:szCs w:val="24"/>
        </w:rPr>
        <w:t xml:space="preserve">U.S. National Academy of Sciences. 2009. </w:t>
      </w:r>
      <w:r w:rsidRPr="00D11FA2">
        <w:rPr>
          <w:rFonts w:ascii="Times New Roman" w:hAnsi="Times New Roman" w:cs="Times New Roman"/>
          <w:i/>
          <w:sz w:val="24"/>
          <w:szCs w:val="24"/>
        </w:rPr>
        <w:t>Global Security Engagement. A new Model for Cooperative Threat Reduction.</w:t>
      </w: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jc w:val="center"/>
        <w:rPr>
          <w:rFonts w:ascii="Times New Roman" w:hAnsi="Times New Roman" w:cs="Times New Roman"/>
          <w:sz w:val="24"/>
          <w:szCs w:val="24"/>
        </w:rPr>
      </w:pPr>
    </w:p>
    <w:p w:rsidR="005F7F0D" w:rsidRPr="00D11FA2" w:rsidRDefault="005F7F0D" w:rsidP="005F7F0D">
      <w:pPr>
        <w:jc w:val="center"/>
        <w:rPr>
          <w:rFonts w:ascii="Times New Roman" w:hAnsi="Times New Roman" w:cs="Times New Roman"/>
          <w:sz w:val="24"/>
          <w:szCs w:val="24"/>
        </w:rPr>
      </w:pPr>
    </w:p>
    <w:p w:rsidR="005F7F0D" w:rsidRPr="00D11FA2" w:rsidRDefault="005F7F0D" w:rsidP="005F7F0D">
      <w:pPr>
        <w:jc w:val="center"/>
        <w:rPr>
          <w:rFonts w:ascii="Times New Roman" w:hAnsi="Times New Roman" w:cs="Times New Roman"/>
          <w:sz w:val="24"/>
          <w:szCs w:val="24"/>
        </w:rPr>
      </w:pPr>
    </w:p>
    <w:p w:rsidR="005F7F0D" w:rsidRPr="00D11FA2" w:rsidRDefault="005F7F0D" w:rsidP="005F7F0D">
      <w:pPr>
        <w:jc w:val="center"/>
        <w:rPr>
          <w:rFonts w:ascii="Times New Roman" w:hAnsi="Times New Roman" w:cs="Times New Roman"/>
          <w:sz w:val="24"/>
          <w:szCs w:val="24"/>
          <w:u w:val="single"/>
        </w:rPr>
      </w:pPr>
    </w:p>
    <w:p w:rsidR="005F7F0D" w:rsidRPr="00D11FA2" w:rsidRDefault="005F7F0D" w:rsidP="005F7F0D">
      <w:pPr>
        <w:jc w:val="center"/>
        <w:rPr>
          <w:rFonts w:ascii="Times New Roman" w:hAnsi="Times New Roman" w:cs="Times New Roman"/>
          <w:sz w:val="24"/>
          <w:szCs w:val="24"/>
          <w:u w:val="single"/>
        </w:rPr>
      </w:pPr>
    </w:p>
    <w:p w:rsidR="005F7F0D" w:rsidRPr="00D11FA2" w:rsidRDefault="005F7F0D" w:rsidP="005F7F0D">
      <w:pPr>
        <w:jc w:val="center"/>
        <w:rPr>
          <w:rFonts w:ascii="Times New Roman" w:hAnsi="Times New Roman" w:cs="Times New Roman"/>
          <w:sz w:val="24"/>
          <w:szCs w:val="24"/>
          <w:u w:val="single"/>
        </w:rPr>
      </w:pPr>
    </w:p>
    <w:p w:rsidR="005F7F0D" w:rsidRPr="00D11FA2" w:rsidRDefault="005F7F0D" w:rsidP="005F7F0D">
      <w:pPr>
        <w:jc w:val="center"/>
        <w:rPr>
          <w:rFonts w:ascii="Times New Roman" w:hAnsi="Times New Roman" w:cs="Times New Roman"/>
          <w:sz w:val="24"/>
          <w:szCs w:val="24"/>
          <w:u w:val="single"/>
        </w:rPr>
      </w:pPr>
    </w:p>
    <w:p w:rsidR="005F7F0D" w:rsidRPr="00D11FA2" w:rsidRDefault="005F7F0D" w:rsidP="005F7F0D">
      <w:pPr>
        <w:jc w:val="center"/>
        <w:rPr>
          <w:rFonts w:ascii="Times New Roman" w:hAnsi="Times New Roman" w:cs="Times New Roman"/>
          <w:sz w:val="24"/>
          <w:szCs w:val="24"/>
          <w:u w:val="single"/>
        </w:rPr>
      </w:pPr>
    </w:p>
    <w:p w:rsidR="005F7F0D" w:rsidRPr="00D11FA2" w:rsidRDefault="005F7F0D" w:rsidP="005F7F0D">
      <w:pPr>
        <w:jc w:val="center"/>
        <w:rPr>
          <w:rFonts w:ascii="Times New Roman" w:hAnsi="Times New Roman" w:cs="Times New Roman"/>
          <w:sz w:val="24"/>
          <w:szCs w:val="24"/>
          <w:u w:val="single"/>
        </w:rPr>
      </w:pPr>
    </w:p>
    <w:p w:rsidR="005F7F0D" w:rsidRPr="00D11FA2" w:rsidRDefault="005F7F0D" w:rsidP="005F7F0D">
      <w:pPr>
        <w:jc w:val="center"/>
        <w:rPr>
          <w:rFonts w:ascii="Times New Roman" w:hAnsi="Times New Roman" w:cs="Times New Roman"/>
          <w:sz w:val="24"/>
          <w:szCs w:val="24"/>
          <w:u w:val="single"/>
        </w:rPr>
      </w:pPr>
    </w:p>
    <w:p w:rsidR="005F7F0D" w:rsidRPr="00D11FA2" w:rsidRDefault="005F7F0D" w:rsidP="005F7F0D">
      <w:pPr>
        <w:jc w:val="center"/>
        <w:rPr>
          <w:rFonts w:ascii="Times New Roman" w:hAnsi="Times New Roman" w:cs="Times New Roman"/>
          <w:sz w:val="24"/>
          <w:szCs w:val="24"/>
          <w:u w:val="single"/>
        </w:rPr>
      </w:pPr>
    </w:p>
    <w:p w:rsidR="005F7F0D" w:rsidRPr="00D11FA2" w:rsidRDefault="005F7F0D" w:rsidP="005F7F0D">
      <w:pPr>
        <w:pBdr>
          <w:bottom w:val="single" w:sz="6" w:space="1" w:color="auto"/>
        </w:pBdr>
        <w:jc w:val="center"/>
        <w:rPr>
          <w:rFonts w:ascii="Times New Roman" w:hAnsi="Times New Roman" w:cs="Times New Roman"/>
          <w:sz w:val="24"/>
          <w:szCs w:val="24"/>
          <w:u w:val="single"/>
        </w:rPr>
      </w:pPr>
    </w:p>
    <w:p w:rsidR="005F7F0D" w:rsidRPr="00D11FA2" w:rsidRDefault="005F7F0D" w:rsidP="005F7F0D">
      <w:pPr>
        <w:pBdr>
          <w:bottom w:val="single" w:sz="6" w:space="1" w:color="auto"/>
        </w:pBdr>
        <w:jc w:val="center"/>
        <w:rPr>
          <w:rFonts w:ascii="Times New Roman" w:hAnsi="Times New Roman" w:cs="Times New Roman"/>
          <w:sz w:val="24"/>
          <w:szCs w:val="24"/>
          <w:u w:val="single"/>
        </w:rPr>
      </w:pPr>
    </w:p>
    <w:p w:rsidR="005F7F0D" w:rsidRPr="00D11FA2" w:rsidRDefault="005F7F0D" w:rsidP="005F7F0D">
      <w:pPr>
        <w:pBdr>
          <w:bottom w:val="single" w:sz="6" w:space="1" w:color="auto"/>
        </w:pBdr>
        <w:jc w:val="center"/>
        <w:rPr>
          <w:rFonts w:ascii="Times New Roman" w:hAnsi="Times New Roman" w:cs="Times New Roman"/>
          <w:sz w:val="24"/>
          <w:szCs w:val="24"/>
          <w:u w:val="single"/>
        </w:rPr>
      </w:pPr>
    </w:p>
    <w:p w:rsidR="005F7F0D" w:rsidRPr="00D11FA2" w:rsidRDefault="005F7F0D" w:rsidP="005F7F0D">
      <w:pPr>
        <w:pBdr>
          <w:bottom w:val="single" w:sz="6" w:space="1" w:color="auto"/>
        </w:pBdr>
        <w:jc w:val="center"/>
        <w:rPr>
          <w:rFonts w:ascii="Times New Roman" w:hAnsi="Times New Roman" w:cs="Times New Roman"/>
          <w:sz w:val="24"/>
          <w:szCs w:val="24"/>
          <w:u w:val="single"/>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073A51"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5F7F0D" w:rsidRPr="00D11FA2" w:rsidRDefault="005F7F0D" w:rsidP="005F7F0D">
      <w:pPr>
        <w:rPr>
          <w:rFonts w:ascii="Times New Roman" w:hAnsi="Times New Roman" w:cs="Times New Roman"/>
          <w:sz w:val="24"/>
          <w:szCs w:val="24"/>
        </w:rPr>
      </w:pPr>
    </w:p>
    <w:p w:rsidR="006106EF" w:rsidRDefault="006106EF"/>
    <w:sectPr w:rsidR="006106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2A0" w:rsidRDefault="005202A0" w:rsidP="005F7F0D">
      <w:pPr>
        <w:spacing w:after="0" w:line="240" w:lineRule="auto"/>
      </w:pPr>
      <w:r>
        <w:separator/>
      </w:r>
    </w:p>
  </w:endnote>
  <w:endnote w:type="continuationSeparator" w:id="0">
    <w:p w:rsidR="005202A0" w:rsidRDefault="005202A0" w:rsidP="005F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867026"/>
      <w:docPartObj>
        <w:docPartGallery w:val="Page Numbers (Bottom of Page)"/>
        <w:docPartUnique/>
      </w:docPartObj>
    </w:sdtPr>
    <w:sdtEndPr>
      <w:rPr>
        <w:noProof/>
      </w:rPr>
    </w:sdtEndPr>
    <w:sdtContent>
      <w:p w:rsidR="0000662E" w:rsidRDefault="0000662E">
        <w:pPr>
          <w:pStyle w:val="Footer"/>
          <w:jc w:val="center"/>
        </w:pPr>
        <w:r>
          <w:fldChar w:fldCharType="begin"/>
        </w:r>
        <w:r>
          <w:instrText xml:space="preserve"> PAGE   \* MERGEFORMAT </w:instrText>
        </w:r>
        <w:r>
          <w:fldChar w:fldCharType="separate"/>
        </w:r>
        <w:r w:rsidR="00262F7D">
          <w:rPr>
            <w:noProof/>
          </w:rPr>
          <w:t>17</w:t>
        </w:r>
        <w:r>
          <w:rPr>
            <w:noProof/>
          </w:rPr>
          <w:fldChar w:fldCharType="end"/>
        </w:r>
      </w:p>
    </w:sdtContent>
  </w:sdt>
  <w:p w:rsidR="0000662E" w:rsidRDefault="00006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2A0" w:rsidRDefault="005202A0" w:rsidP="005F7F0D">
      <w:pPr>
        <w:spacing w:after="0" w:line="240" w:lineRule="auto"/>
      </w:pPr>
      <w:r>
        <w:separator/>
      </w:r>
    </w:p>
  </w:footnote>
  <w:footnote w:type="continuationSeparator" w:id="0">
    <w:p w:rsidR="005202A0" w:rsidRDefault="005202A0" w:rsidP="005F7F0D">
      <w:pPr>
        <w:spacing w:after="0" w:line="240" w:lineRule="auto"/>
      </w:pPr>
      <w:r>
        <w:continuationSeparator/>
      </w:r>
    </w:p>
  </w:footnote>
  <w:footnote w:id="1">
    <w:p w:rsidR="00353A8B" w:rsidRPr="00D11FA2" w:rsidRDefault="00353A8B" w:rsidP="005F7F0D">
      <w:pPr>
        <w:pStyle w:val="FootnoteText"/>
        <w:rPr>
          <w:rFonts w:ascii="Times New Roman" w:hAnsi="Times New Roman" w:cs="Times New Roman"/>
        </w:rPr>
      </w:pPr>
      <w:r w:rsidRPr="00AA1B1E">
        <w:rPr>
          <w:rStyle w:val="FootnoteReference"/>
          <w:rFonts w:ascii="Times New Roman" w:hAnsi="Times New Roman" w:cs="Times New Roman"/>
        </w:rPr>
        <w:footnoteRef/>
      </w:r>
      <w:r w:rsidRPr="00AA1B1E">
        <w:rPr>
          <w:rFonts w:ascii="Times New Roman" w:hAnsi="Times New Roman" w:cs="Times New Roman"/>
        </w:rPr>
        <w:t xml:space="preserve"> </w:t>
      </w:r>
      <w:proofErr w:type="spellStart"/>
      <w:r w:rsidRPr="00AA1B1E">
        <w:rPr>
          <w:rFonts w:ascii="Times New Roman" w:hAnsi="Times New Roman" w:cs="Times New Roman"/>
        </w:rPr>
        <w:t>A</w:t>
      </w:r>
      <w:r w:rsidRPr="00073A51">
        <w:rPr>
          <w:rFonts w:ascii="Times New Roman" w:hAnsi="Times New Roman" w:cs="Times New Roman"/>
        </w:rPr>
        <w:t>dri</w:t>
      </w:r>
      <w:r w:rsidRPr="00D11FA2">
        <w:rPr>
          <w:rFonts w:ascii="Times New Roman" w:hAnsi="Times New Roman" w:cs="Times New Roman"/>
        </w:rPr>
        <w:t>a</w:t>
      </w:r>
      <w:r w:rsidR="0000662E" w:rsidRPr="00262F7D">
        <w:rPr>
          <w:rFonts w:ascii="Times New Roman" w:hAnsi="Times New Roman" w:cs="Times New Roman"/>
        </w:rPr>
        <w:t>a</w:t>
      </w:r>
      <w:r w:rsidRPr="00D11FA2">
        <w:rPr>
          <w:rFonts w:ascii="Times New Roman" w:hAnsi="Times New Roman" w:cs="Times New Roman"/>
        </w:rPr>
        <w:t>n</w:t>
      </w:r>
      <w:proofErr w:type="spellEnd"/>
      <w:r w:rsidRPr="00D11FA2">
        <w:rPr>
          <w:rFonts w:ascii="Times New Roman" w:hAnsi="Times New Roman" w:cs="Times New Roman"/>
        </w:rPr>
        <w:t xml:space="preserve"> van der Meer is a </w:t>
      </w:r>
      <w:r w:rsidRPr="00D11FA2">
        <w:rPr>
          <w:rFonts w:ascii="Times New Roman" w:hAnsi="Times New Roman" w:cs="Times New Roman"/>
          <w:lang w:val="tr-TR"/>
        </w:rPr>
        <w:t>retired Official of the European Commission</w:t>
      </w:r>
      <w:r w:rsidRPr="00D11FA2">
        <w:rPr>
          <w:rFonts w:ascii="Times New Roman" w:hAnsi="Times New Roman" w:cs="Times New Roman"/>
        </w:rPr>
        <w:t xml:space="preserve"> currently participating in the EC's Active Senior program</w:t>
      </w:r>
      <w:r w:rsidRPr="00D11FA2">
        <w:rPr>
          <w:rFonts w:ascii="Times New Roman" w:hAnsi="Times New Roman" w:cs="Times New Roman"/>
          <w:lang w:val="tr-TR"/>
        </w:rPr>
        <w:t>. He was posted as EU Head of Delegation in Cyprus and Kazakhstan and carried out the function of Executive Director at the International Science and Technology Centre in Moscow. Before retirement he managed the EU Instrument for Nuclear Safety Cooperation and the long term component of the EU Instrument for Stability and</w:t>
      </w:r>
      <w:r w:rsidRPr="00D11FA2">
        <w:rPr>
          <w:rFonts w:ascii="Times New Roman" w:hAnsi="Times New Roman" w:cs="Times New Roman"/>
        </w:rPr>
        <w:t xml:space="preserve"> Peace at the European Commission in Brussels. The content of this paper only represents his personal views.</w:t>
      </w:r>
    </w:p>
  </w:footnote>
  <w:footnote w:id="2">
    <w:p w:rsidR="00353A8B" w:rsidRPr="00D11FA2"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ISTC describes itself as an intergovernmental organization connecting scientists from Kazakhstan, Armenia, Tajikistan, Kyrgyzstan, and Georgia with their peers and research organizations in the EU, Japan, </w:t>
      </w:r>
      <w:r>
        <w:rPr>
          <w:rFonts w:ascii="Times New Roman" w:hAnsi="Times New Roman" w:cs="Times New Roman"/>
        </w:rPr>
        <w:t xml:space="preserve">the </w:t>
      </w:r>
      <w:r w:rsidRPr="00D11FA2">
        <w:rPr>
          <w:rFonts w:ascii="Times New Roman" w:hAnsi="Times New Roman" w:cs="Times New Roman"/>
        </w:rPr>
        <w:t xml:space="preserve">Republic of Korea, Norway and the United States. ISTC facilitates international science projects and assists the global scientific and business community to source and engage with CIS and Georgian institutes that develop or possess an excellence of scientific know-how. At the end of the Cold War, </w:t>
      </w:r>
      <w:r>
        <w:rPr>
          <w:rFonts w:ascii="Times New Roman" w:hAnsi="Times New Roman" w:cs="Times New Roman"/>
        </w:rPr>
        <w:t xml:space="preserve">the </w:t>
      </w:r>
      <w:r w:rsidRPr="00D11FA2">
        <w:rPr>
          <w:rFonts w:ascii="Times New Roman" w:hAnsi="Times New Roman" w:cs="Times New Roman"/>
        </w:rPr>
        <w:t>ISTC operated from Russia as a means to redirect WMD scientists after the Cold War.</w:t>
      </w:r>
      <w:r>
        <w:rPr>
          <w:rFonts w:ascii="Times New Roman" w:hAnsi="Times New Roman" w:cs="Times New Roman"/>
        </w:rPr>
        <w:t xml:space="preserve"> </w:t>
      </w:r>
      <w:r w:rsidR="00374B0C">
        <w:rPr>
          <w:rFonts w:ascii="Times New Roman" w:hAnsi="Times New Roman" w:cs="Times New Roman"/>
        </w:rPr>
        <w:t xml:space="preserve">In recent years the </w:t>
      </w:r>
      <w:r>
        <w:rPr>
          <w:rFonts w:ascii="Times New Roman" w:hAnsi="Times New Roman" w:cs="Times New Roman"/>
        </w:rPr>
        <w:t>ISTC has b</w:t>
      </w:r>
      <w:r w:rsidR="00374B0C">
        <w:rPr>
          <w:rFonts w:ascii="Times New Roman" w:hAnsi="Times New Roman" w:cs="Times New Roman"/>
        </w:rPr>
        <w:t xml:space="preserve">een operating out of Kazakhstan after closing its offices in Moscow in 2015. </w:t>
      </w:r>
    </w:p>
    <w:p w:rsidR="00353A8B" w:rsidRPr="00D11FA2" w:rsidRDefault="00353A8B" w:rsidP="005F7F0D">
      <w:pPr>
        <w:pStyle w:val="FootnoteText"/>
        <w:rPr>
          <w:rFonts w:ascii="Times New Roman" w:hAnsi="Times New Roman" w:cs="Times New Roman"/>
        </w:rPr>
      </w:pPr>
    </w:p>
  </w:footnote>
  <w:footnote w:id="3">
    <w:p w:rsidR="00353A8B" w:rsidRPr="00073A51"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Technology for the many: A Public Policy Platform for a Better, Fairer Future, Tony Blair Institute for Global Change, London, November 2017, p</w:t>
      </w:r>
      <w:r w:rsidR="0000662E" w:rsidRPr="00262F7D">
        <w:rPr>
          <w:rFonts w:ascii="Times New Roman" w:hAnsi="Times New Roman" w:cs="Times New Roman"/>
        </w:rPr>
        <w:t>age</w:t>
      </w:r>
      <w:r w:rsidRPr="00073A51">
        <w:rPr>
          <w:rFonts w:ascii="Times New Roman" w:hAnsi="Times New Roman" w:cs="Times New Roman"/>
        </w:rPr>
        <w:t xml:space="preserve"> 3.</w:t>
      </w:r>
    </w:p>
  </w:footnote>
  <w:footnote w:id="4">
    <w:p w:rsidR="00353A8B" w:rsidRPr="00073A51"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Commission Staff Working Document, Impact Assessment, Report on the EU Export Control Policy Review, Brussels, 28.9.2016, SWD (2016)315 final, p 7.</w:t>
      </w:r>
      <w:r w:rsidRPr="00D11FA2">
        <w:rPr>
          <w:rFonts w:ascii="Times New Roman" w:hAnsi="Times New Roman" w:cs="Times New Roman"/>
        </w:rPr>
        <w:t xml:space="preserve"> </w:t>
      </w:r>
      <w:r w:rsidRPr="00073A51">
        <w:rPr>
          <w:rFonts w:ascii="Times New Roman" w:hAnsi="Times New Roman" w:cs="Times New Roman"/>
        </w:rPr>
        <w:t>In general terms, “dual-use” can be defined as the potential of military application of any technology originally designed for non-military, civilian purposes, and vice versa.</w:t>
      </w:r>
    </w:p>
  </w:footnote>
  <w:footnote w:id="5">
    <w:p w:rsidR="00353A8B" w:rsidRPr="00073A51"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Op </w:t>
      </w:r>
      <w:proofErr w:type="spellStart"/>
      <w:r w:rsidRPr="00073A51">
        <w:rPr>
          <w:rFonts w:ascii="Times New Roman" w:hAnsi="Times New Roman" w:cs="Times New Roman"/>
        </w:rPr>
        <w:t>cit</w:t>
      </w:r>
      <w:proofErr w:type="spellEnd"/>
      <w:r w:rsidRPr="00073A51">
        <w:rPr>
          <w:rFonts w:ascii="Times New Roman" w:hAnsi="Times New Roman" w:cs="Times New Roman"/>
        </w:rPr>
        <w:t>, pages 3 and 4.</w:t>
      </w:r>
    </w:p>
  </w:footnote>
  <w:footnote w:id="6">
    <w:p w:rsidR="00353A8B" w:rsidRPr="00073A51"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 xml:space="preserve">Artificial intelligence and national security, </w:t>
      </w:r>
      <w:proofErr w:type="spellStart"/>
      <w:r w:rsidRPr="00073A51">
        <w:rPr>
          <w:rFonts w:ascii="Times New Roman" w:hAnsi="Times New Roman" w:cs="Times New Roman"/>
        </w:rPr>
        <w:t>George.C.Allen</w:t>
      </w:r>
      <w:proofErr w:type="spellEnd"/>
      <w:r w:rsidRPr="00073A51">
        <w:rPr>
          <w:rFonts w:ascii="Times New Roman" w:hAnsi="Times New Roman" w:cs="Times New Roman"/>
        </w:rPr>
        <w:t xml:space="preserve">, </w:t>
      </w:r>
      <w:proofErr w:type="spellStart"/>
      <w:r w:rsidRPr="00073A51">
        <w:rPr>
          <w:rFonts w:ascii="Times New Roman" w:hAnsi="Times New Roman" w:cs="Times New Roman"/>
        </w:rPr>
        <w:t>Taniel</w:t>
      </w:r>
      <w:proofErr w:type="spellEnd"/>
      <w:r w:rsidRPr="00073A51">
        <w:rPr>
          <w:rFonts w:ascii="Times New Roman" w:hAnsi="Times New Roman" w:cs="Times New Roman"/>
        </w:rPr>
        <w:t xml:space="preserve"> </w:t>
      </w:r>
      <w:proofErr w:type="spellStart"/>
      <w:r w:rsidRPr="00073A51">
        <w:rPr>
          <w:rFonts w:ascii="Times New Roman" w:hAnsi="Times New Roman" w:cs="Times New Roman"/>
        </w:rPr>
        <w:t>Chan,Belfer</w:t>
      </w:r>
      <w:proofErr w:type="spellEnd"/>
      <w:r w:rsidRPr="00073A51">
        <w:rPr>
          <w:rFonts w:ascii="Times New Roman" w:hAnsi="Times New Roman" w:cs="Times New Roman"/>
        </w:rPr>
        <w:t xml:space="preserve"> </w:t>
      </w:r>
      <w:proofErr w:type="spellStart"/>
      <w:r w:rsidRPr="00073A51">
        <w:rPr>
          <w:rFonts w:ascii="Times New Roman" w:hAnsi="Times New Roman" w:cs="Times New Roman"/>
        </w:rPr>
        <w:t>Center</w:t>
      </w:r>
      <w:proofErr w:type="spellEnd"/>
      <w:r w:rsidRPr="00073A51">
        <w:rPr>
          <w:rFonts w:ascii="Times New Roman" w:hAnsi="Times New Roman" w:cs="Times New Roman"/>
        </w:rPr>
        <w:t xml:space="preserve"> for Science and International affairs, Harvard University, Boston, July 2017,</w:t>
      </w:r>
      <w:r w:rsidR="0000662E" w:rsidRPr="00262F7D">
        <w:rPr>
          <w:rFonts w:ascii="Times New Roman" w:hAnsi="Times New Roman" w:cs="Times New Roman"/>
        </w:rPr>
        <w:t xml:space="preserve"> </w:t>
      </w:r>
      <w:r w:rsidRPr="00073A51">
        <w:rPr>
          <w:rFonts w:ascii="Times New Roman" w:hAnsi="Times New Roman" w:cs="Times New Roman"/>
        </w:rPr>
        <w:t>page1.</w:t>
      </w:r>
    </w:p>
  </w:footnote>
  <w:footnote w:id="7">
    <w:p w:rsidR="00353A8B" w:rsidRPr="00073A51"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www.independent.co.uk on 10 January 2018.</w:t>
      </w:r>
    </w:p>
  </w:footnote>
  <w:footnote w:id="8">
    <w:p w:rsidR="00353A8B" w:rsidRPr="00073A51"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The Malicious Use of Artificial Intelligence: Forecasting, Prevention, and Mitigation. Future of Humanity Institute, University of Oxford, Centre for the Study of Existential Risk, University of Cambridge, Centre for a New American Security, Electronic Frontier Foundation, Open AI, 20 February 2018.</w:t>
      </w:r>
    </w:p>
  </w:footnote>
  <w:footnote w:id="9">
    <w:p w:rsidR="00353A8B" w:rsidRPr="00D11FA2"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French Ministry of Foreign Affairs, 23 January 2018 and Working paper on initial observations on a BTWC peer review  submitted by Belgium, The Netherlands and Luxembourg to the Meeting of States Parties of the Biological and Toxin Weapons Convention, 14-18 December 2015 in Geneva ( BWC/MSP/2015/MX/WP.13) and https://www.gov.uk/government/publications/uk-norway-initiative-on-nuclear-warhead-dismantlement-verification. Equally, the various gift baskets under the Nuclear Security Summit process promote cooperation among experts to enhance nuclear security worldwide for example outside the IAEA framework</w:t>
      </w:r>
      <w:r w:rsidRPr="00D11FA2">
        <w:rPr>
          <w:rFonts w:ascii="Times New Roman" w:hAnsi="Times New Roman" w:cs="Times New Roman"/>
        </w:rPr>
        <w:t>.</w:t>
      </w:r>
    </w:p>
  </w:footnote>
  <w:footnote w:id="10">
    <w:p w:rsidR="00353A8B" w:rsidRPr="00D11FA2"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For a systematic overview of the risks of new technologies, see ;Peril and Promise: Emerging Technologies and WMD, Natasha </w:t>
      </w:r>
      <w:proofErr w:type="spellStart"/>
      <w:r w:rsidRPr="00073A51">
        <w:rPr>
          <w:rFonts w:ascii="Times New Roman" w:hAnsi="Times New Roman" w:cs="Times New Roman"/>
        </w:rPr>
        <w:t>Bajema</w:t>
      </w:r>
      <w:proofErr w:type="spellEnd"/>
      <w:r w:rsidRPr="00073A51">
        <w:rPr>
          <w:rFonts w:ascii="Times New Roman" w:hAnsi="Times New Roman" w:cs="Times New Roman"/>
        </w:rPr>
        <w:t xml:space="preserve"> and Diane </w:t>
      </w:r>
      <w:proofErr w:type="spellStart"/>
      <w:r w:rsidRPr="00073A51">
        <w:rPr>
          <w:rFonts w:ascii="Times New Roman" w:hAnsi="Times New Roman" w:cs="Times New Roman"/>
        </w:rPr>
        <w:t>DiEuliis</w:t>
      </w:r>
      <w:proofErr w:type="spellEnd"/>
      <w:r w:rsidRPr="00073A51">
        <w:rPr>
          <w:rFonts w:ascii="Times New Roman" w:hAnsi="Times New Roman" w:cs="Times New Roman"/>
        </w:rPr>
        <w:t xml:space="preserve">, </w:t>
      </w:r>
      <w:proofErr w:type="spellStart"/>
      <w:r w:rsidRPr="00073A51">
        <w:rPr>
          <w:rFonts w:ascii="Times New Roman" w:hAnsi="Times New Roman" w:cs="Times New Roman"/>
        </w:rPr>
        <w:t>Center</w:t>
      </w:r>
      <w:proofErr w:type="spellEnd"/>
      <w:r w:rsidRPr="00073A51">
        <w:rPr>
          <w:rFonts w:ascii="Times New Roman" w:hAnsi="Times New Roman" w:cs="Times New Roman"/>
        </w:rPr>
        <w:t xml:space="preserve"> for the study of WMD, National Defence University, Washington, May 2017</w:t>
      </w:r>
      <w:r w:rsidRPr="00D11FA2">
        <w:rPr>
          <w:rFonts w:ascii="Times New Roman" w:hAnsi="Times New Roman" w:cs="Times New Roman"/>
        </w:rPr>
        <w:t>.</w:t>
      </w:r>
    </w:p>
  </w:footnote>
  <w:footnote w:id="11">
    <w:p w:rsidR="00353A8B" w:rsidRPr="00D11FA2"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Bruce. E. Bechtel Jr, Angelo State University, Book to be published, The New York Times, 27 February 2018</w:t>
      </w:r>
    </w:p>
  </w:footnote>
  <w:footnote w:id="12">
    <w:p w:rsidR="00353A8B" w:rsidRPr="00D11FA2"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CTR and the 2017 threat environment, William Tobey, Harvard University, CTR programs and the Next Ten Years and Beyond,18-19 September 2017, NAS, Washington.</w:t>
      </w:r>
    </w:p>
  </w:footnote>
  <w:footnote w:id="13">
    <w:p w:rsidR="00353A8B" w:rsidRPr="00D11FA2"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Combating the spread of WMD: A success story for the US-EU Partnership, </w:t>
      </w:r>
      <w:proofErr w:type="spellStart"/>
      <w:proofErr w:type="gramStart"/>
      <w:r w:rsidRPr="00073A51">
        <w:rPr>
          <w:rFonts w:ascii="Times New Roman" w:hAnsi="Times New Roman" w:cs="Times New Roman"/>
        </w:rPr>
        <w:t>J.Jenny</w:t>
      </w:r>
      <w:proofErr w:type="spellEnd"/>
      <w:proofErr w:type="gramEnd"/>
      <w:r w:rsidRPr="00073A51">
        <w:rPr>
          <w:rFonts w:ascii="Times New Roman" w:hAnsi="Times New Roman" w:cs="Times New Roman"/>
        </w:rPr>
        <w:t xml:space="preserve"> and </w:t>
      </w:r>
      <w:proofErr w:type="spellStart"/>
      <w:r w:rsidRPr="00073A51">
        <w:rPr>
          <w:rFonts w:ascii="Times New Roman" w:hAnsi="Times New Roman" w:cs="Times New Roman"/>
        </w:rPr>
        <w:t>S.Limage</w:t>
      </w:r>
      <w:proofErr w:type="spellEnd"/>
      <w:r w:rsidRPr="00073A51">
        <w:rPr>
          <w:rFonts w:ascii="Times New Roman" w:hAnsi="Times New Roman" w:cs="Times New Roman"/>
        </w:rPr>
        <w:t>, in War on the Rocks, Texas National Security Network, University of Texas,</w:t>
      </w:r>
      <w:r>
        <w:rPr>
          <w:rFonts w:ascii="Times New Roman" w:hAnsi="Times New Roman" w:cs="Times New Roman"/>
        </w:rPr>
        <w:t xml:space="preserve"> </w:t>
      </w:r>
      <w:r w:rsidRPr="00073A51">
        <w:rPr>
          <w:rFonts w:ascii="Times New Roman" w:hAnsi="Times New Roman" w:cs="Times New Roman"/>
        </w:rPr>
        <w:t>1 March 2018.</w:t>
      </w:r>
    </w:p>
  </w:footnote>
  <w:footnote w:id="14">
    <w:p w:rsidR="00353A8B" w:rsidRPr="00D11FA2" w:rsidRDefault="00353A8B" w:rsidP="002074B2">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Scientists are defined as </w:t>
      </w:r>
      <w:r>
        <w:rPr>
          <w:rFonts w:ascii="Times New Roman" w:hAnsi="Times New Roman" w:cs="Times New Roman"/>
        </w:rPr>
        <w:t>i</w:t>
      </w:r>
      <w:r w:rsidRPr="00073A51">
        <w:rPr>
          <w:rFonts w:ascii="Times New Roman" w:hAnsi="Times New Roman" w:cs="Times New Roman"/>
        </w:rPr>
        <w:t xml:space="preserve">ndividuals </w:t>
      </w:r>
      <w:r w:rsidRPr="00D11FA2">
        <w:rPr>
          <w:rFonts w:ascii="Times New Roman" w:hAnsi="Times New Roman" w:cs="Times New Roman"/>
        </w:rPr>
        <w:t>at all levels in possession of proliferation-critical knowledge, including engineers and technicians having technological skills or WMD-related knowledge or any dual-use expertise in sensitive CBRN areas of proliferation concern.</w:t>
      </w:r>
      <w:r>
        <w:rPr>
          <w:rFonts w:ascii="Times New Roman" w:hAnsi="Times New Roman" w:cs="Times New Roman"/>
        </w:rPr>
        <w:t xml:space="preserve"> </w:t>
      </w:r>
      <w:r w:rsidR="002074B2" w:rsidRPr="002074B2">
        <w:rPr>
          <w:rFonts w:ascii="Times New Roman" w:hAnsi="Times New Roman" w:cs="Times New Roman"/>
        </w:rPr>
        <w:t>GLOBAL PARTNERSHIP WORKING GROUP (GPWG)</w:t>
      </w:r>
      <w:r w:rsidR="002074B2">
        <w:rPr>
          <w:rFonts w:ascii="Times New Roman" w:hAnsi="Times New Roman" w:cs="Times New Roman"/>
        </w:rPr>
        <w:t xml:space="preserve">, “Recommendations for a coordinated approach in the field of global weapons of mass destruction knowledge proliferation and scientist engagement”. </w:t>
      </w:r>
      <w:r w:rsidR="00563399">
        <w:rPr>
          <w:rFonts w:ascii="Times New Roman" w:hAnsi="Times New Roman" w:cs="Times New Roman"/>
        </w:rPr>
        <w:t xml:space="preserve">Available online at:  </w:t>
      </w:r>
      <w:r w:rsidR="00563399" w:rsidRPr="00563399">
        <w:rPr>
          <w:rFonts w:ascii="Times New Roman" w:hAnsi="Times New Roman" w:cs="Times New Roman"/>
        </w:rPr>
        <w:t>http://www.g8.utoronto.ca/summit/2009laquila/2009-report-gpwg-b-recs.pdf</w:t>
      </w:r>
    </w:p>
  </w:footnote>
  <w:footnote w:id="15">
    <w:p w:rsidR="00353A8B" w:rsidRPr="00262F7D"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lang w:val="en-US"/>
        </w:rPr>
        <w:t>Recommendations for a coordinated approach in the field of global weapons of mass destruction knowledge proliferation and scientist engagement, Global Partnership Working Group, 2009,</w:t>
      </w:r>
      <w:r w:rsidRPr="00D11FA2">
        <w:rPr>
          <w:rFonts w:ascii="Times New Roman" w:hAnsi="Times New Roman" w:cs="Times New Roman"/>
        </w:rPr>
        <w:t xml:space="preserve"> http://www.it/MAE/EN/Politica.Estera/G8/PresdenzaItaliana.htm</w:t>
      </w:r>
      <w:r w:rsidR="008E5D5A" w:rsidRPr="00262F7D">
        <w:rPr>
          <w:rFonts w:ascii="Times New Roman" w:hAnsi="Times New Roman" w:cs="Times New Roman"/>
        </w:rPr>
        <w:t>.</w:t>
      </w:r>
    </w:p>
  </w:footnote>
  <w:footnote w:id="16">
    <w:p w:rsidR="00353A8B" w:rsidRPr="00262F7D"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Op </w:t>
      </w:r>
      <w:proofErr w:type="spellStart"/>
      <w:r w:rsidRPr="00D11FA2">
        <w:rPr>
          <w:rFonts w:ascii="Times New Roman" w:hAnsi="Times New Roman" w:cs="Times New Roman"/>
        </w:rPr>
        <w:t>cit</w:t>
      </w:r>
      <w:proofErr w:type="spellEnd"/>
      <w:r w:rsidRPr="00D11FA2">
        <w:rPr>
          <w:rFonts w:ascii="Times New Roman" w:hAnsi="Times New Roman" w:cs="Times New Roman"/>
        </w:rPr>
        <w:t>, pages 1-3</w:t>
      </w:r>
      <w:r w:rsidR="008E5D5A" w:rsidRPr="00262F7D">
        <w:rPr>
          <w:rFonts w:ascii="Times New Roman" w:hAnsi="Times New Roman" w:cs="Times New Roman"/>
        </w:rPr>
        <w:t>.</w:t>
      </w:r>
    </w:p>
  </w:footnote>
  <w:footnote w:id="17">
    <w:p w:rsidR="00353A8B" w:rsidRPr="00073A51"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For a more detailed description, see S. Hecker, Doomed to Cooperate: How American and Russian Scientists Joined Forces to avert some of the Greatest Post-Cold War Nuclear Dangers, the Los Alamos Historical Society's Bathtub Row Press, Los Alamos, 2016.</w:t>
      </w:r>
    </w:p>
  </w:footnote>
  <w:footnote w:id="18">
    <w:p w:rsidR="00353A8B" w:rsidRPr="00073A51"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For further details, see the Nunn- Lugar scoreboards, http://www.dtra.mil/Missions/Partnering/Nunn-Lugar-Scorecard. </w:t>
      </w:r>
    </w:p>
  </w:footnote>
  <w:footnote w:id="19">
    <w:p w:rsidR="00353A8B" w:rsidRPr="00D11FA2"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For a detailed overview on the origin and functioning of ISTC, see G. Schweitzer, Moscow DMZ,</w:t>
      </w:r>
      <w:r w:rsidRPr="00D11FA2">
        <w:rPr>
          <w:rFonts w:ascii="Times New Roman" w:hAnsi="Times New Roman" w:cs="Times New Roman"/>
        </w:rPr>
        <w:t xml:space="preserve"> M.E. Sharpe, New York 1996 and G. Schweitzer, Containing Russia’s Nuclear Firebirds, The University of Georgia Press, 2013.</w:t>
      </w:r>
    </w:p>
  </w:footnote>
  <w:footnote w:id="20">
    <w:p w:rsidR="00353A8B" w:rsidRPr="00D11FA2"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ISTC; the Daily Beast, 14 March 2018.</w:t>
      </w:r>
    </w:p>
  </w:footnote>
  <w:footnote w:id="21">
    <w:p w:rsidR="00353A8B" w:rsidRPr="008E5D5A"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Second evaluation of the EU Instrument for Stability, Priority 1 (CBRN risk mitigation),</w:t>
      </w:r>
      <w:r>
        <w:rPr>
          <w:rFonts w:ascii="Times New Roman" w:hAnsi="Times New Roman" w:cs="Times New Roman"/>
        </w:rPr>
        <w:t xml:space="preserve"> </w:t>
      </w:r>
      <w:r w:rsidRPr="00073A51">
        <w:rPr>
          <w:rFonts w:ascii="Times New Roman" w:hAnsi="Times New Roman" w:cs="Times New Roman"/>
        </w:rPr>
        <w:t>final report, Brussels, October 2012, p</w:t>
      </w:r>
      <w:r w:rsidR="008E5D5A" w:rsidRPr="00262F7D">
        <w:rPr>
          <w:rFonts w:ascii="Times New Roman" w:hAnsi="Times New Roman" w:cs="Times New Roman"/>
        </w:rPr>
        <w:t>age</w:t>
      </w:r>
      <w:r w:rsidRPr="00073A51">
        <w:rPr>
          <w:rFonts w:ascii="Times New Roman" w:hAnsi="Times New Roman" w:cs="Times New Roman"/>
        </w:rPr>
        <w:t xml:space="preserve"> 34</w:t>
      </w:r>
      <w:r w:rsidR="008E5D5A" w:rsidRPr="00262F7D">
        <w:rPr>
          <w:rFonts w:ascii="Times New Roman" w:hAnsi="Times New Roman" w:cs="Times New Roman"/>
        </w:rPr>
        <w:t>.</w:t>
      </w:r>
    </w:p>
  </w:footnote>
  <w:footnote w:id="22">
    <w:p w:rsidR="00353A8B" w:rsidRPr="00073A51"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 xml:space="preserve">The added value of the </w:t>
      </w:r>
      <w:r>
        <w:rPr>
          <w:rFonts w:ascii="Times New Roman" w:hAnsi="Times New Roman" w:cs="Times New Roman"/>
        </w:rPr>
        <w:t>S</w:t>
      </w:r>
      <w:r w:rsidRPr="00073A51">
        <w:rPr>
          <w:rFonts w:ascii="Times New Roman" w:hAnsi="Times New Roman" w:cs="Times New Roman"/>
        </w:rPr>
        <w:t xml:space="preserve">cience Centres is also recognised in the Mid-Term Evaluation (2014-2017) of the Instrument </w:t>
      </w:r>
      <w:r>
        <w:rPr>
          <w:rFonts w:ascii="Times New Roman" w:hAnsi="Times New Roman" w:cs="Times New Roman"/>
        </w:rPr>
        <w:t>C</w:t>
      </w:r>
      <w:r w:rsidRPr="00073A51">
        <w:rPr>
          <w:rFonts w:ascii="Times New Roman" w:hAnsi="Times New Roman" w:cs="Times New Roman"/>
        </w:rPr>
        <w:t>ontributing to Stability and Peace (</w:t>
      </w:r>
      <w:proofErr w:type="spellStart"/>
      <w:r w:rsidRPr="00073A51">
        <w:rPr>
          <w:rFonts w:ascii="Times New Roman" w:hAnsi="Times New Roman" w:cs="Times New Roman"/>
        </w:rPr>
        <w:t>IcSP</w:t>
      </w:r>
      <w:proofErr w:type="spellEnd"/>
      <w:r w:rsidRPr="00073A51">
        <w:rPr>
          <w:rFonts w:ascii="Times New Roman" w:hAnsi="Times New Roman" w:cs="Times New Roman"/>
        </w:rPr>
        <w:t>), Brussels, June 2017, pages 28 and 38.</w:t>
      </w:r>
    </w:p>
  </w:footnote>
  <w:footnote w:id="23">
    <w:p w:rsidR="00353A8B" w:rsidRPr="008E5D5A"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Agreement on the Continuation of the International Science and Technology Centre (ISTC), www.istc.int</w:t>
      </w:r>
      <w:r w:rsidR="008E5D5A" w:rsidRPr="00262F7D">
        <w:rPr>
          <w:rFonts w:ascii="Times New Roman" w:hAnsi="Times New Roman" w:cs="Times New Roman"/>
        </w:rPr>
        <w:t>.</w:t>
      </w:r>
    </w:p>
  </w:footnote>
  <w:footnote w:id="24">
    <w:p w:rsidR="00353A8B" w:rsidRPr="00D11FA2"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STCU Vision statement, http://www.stcu.int/weare/MissionStatement/mission/index.php</w:t>
      </w:r>
      <w:r w:rsidRPr="00D11FA2">
        <w:rPr>
          <w:rFonts w:ascii="Times New Roman" w:hAnsi="Times New Roman" w:cs="Times New Roman"/>
        </w:rPr>
        <w:t>.</w:t>
      </w:r>
    </w:p>
  </w:footnote>
  <w:footnote w:id="25">
    <w:p w:rsidR="00353A8B" w:rsidRPr="00D11FA2"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073A51">
        <w:rPr>
          <w:rFonts w:ascii="Times New Roman" w:hAnsi="Times New Roman" w:cs="Times New Roman"/>
        </w:rPr>
        <w:t>For more details on both organisations, see the various annual reports</w:t>
      </w:r>
      <w:r w:rsidR="008E5D5A" w:rsidRPr="00262F7D">
        <w:rPr>
          <w:rFonts w:ascii="Times New Roman" w:hAnsi="Times New Roman" w:cs="Times New Roman"/>
        </w:rPr>
        <w:t>.</w:t>
      </w:r>
    </w:p>
  </w:footnote>
  <w:footnote w:id="26">
    <w:p w:rsidR="00353A8B" w:rsidRPr="00D11FA2"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Final report, ICIS, Calabria, Italy, December 2013</w:t>
      </w:r>
      <w:r w:rsidR="008E5D5A" w:rsidRPr="00262F7D">
        <w:rPr>
          <w:rFonts w:ascii="Times New Roman" w:hAnsi="Times New Roman" w:cs="Times New Roman"/>
        </w:rPr>
        <w:t>.</w:t>
      </w:r>
    </w:p>
  </w:footnote>
  <w:footnote w:id="27">
    <w:p w:rsidR="00353A8B" w:rsidRPr="00073A51"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Fact sheet, Office of the Spokesman, Department of State, Washington, December 2003.</w:t>
      </w:r>
    </w:p>
  </w:footnote>
  <w:footnote w:id="28">
    <w:p w:rsidR="00353A8B" w:rsidRPr="00073A51"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Communication from the Commission on an Action Plan to enhance preparedness against chemical, biological, radiological and nuclear security risks, Brussels,</w:t>
      </w:r>
      <w:r w:rsidRPr="00073A51">
        <w:rPr>
          <w:rFonts w:ascii="Times New Roman" w:hAnsi="Times New Roman" w:cs="Times New Roman"/>
          <w:sz w:val="22"/>
          <w:szCs w:val="22"/>
        </w:rPr>
        <w:t xml:space="preserve"> </w:t>
      </w:r>
      <w:r w:rsidRPr="00073A51">
        <w:rPr>
          <w:rFonts w:ascii="Times New Roman" w:hAnsi="Times New Roman" w:cs="Times New Roman"/>
        </w:rPr>
        <w:t>18.10.2017, COM(2017) 610 final.</w:t>
      </w:r>
    </w:p>
  </w:footnote>
  <w:footnote w:id="29">
    <w:p w:rsidR="00353A8B" w:rsidRPr="00D11FA2"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Each of the countries adhere to one of the eight regional secretariats depending on their geographical location. Regional secretariats are located respectively in Tbilisi, Amman, Rabat, Algiers, Tashkent, Abu Dhabi, Nairobi, and Manila. For more information, see also www.cbrn-coe.eu</w:t>
      </w:r>
      <w:r w:rsidR="008E5D5A" w:rsidRPr="00262F7D">
        <w:rPr>
          <w:rFonts w:ascii="Times New Roman" w:hAnsi="Times New Roman" w:cs="Times New Roman"/>
        </w:rPr>
        <w:t>.</w:t>
      </w:r>
      <w:r w:rsidRPr="00D11FA2">
        <w:rPr>
          <w:rFonts w:ascii="Times New Roman" w:hAnsi="Times New Roman" w:cs="Times New Roman"/>
        </w:rPr>
        <w:t xml:space="preserve"> </w:t>
      </w:r>
    </w:p>
  </w:footnote>
  <w:footnote w:id="30">
    <w:p w:rsidR="00353A8B" w:rsidRPr="00D11FA2" w:rsidRDefault="00353A8B" w:rsidP="005F7F0D">
      <w:pPr>
        <w:pStyle w:val="FootnoteText"/>
        <w:rPr>
          <w:rFonts w:ascii="Times New Roman" w:hAnsi="Times New Roman" w:cs="Times New Roman"/>
          <w:sz w:val="18"/>
          <w:szCs w:val="18"/>
          <w:lang w:val="en-US"/>
        </w:rPr>
      </w:pPr>
      <w:r w:rsidRPr="00073A51">
        <w:rPr>
          <w:rStyle w:val="FootnoteReference"/>
          <w:rFonts w:ascii="Times New Roman" w:hAnsi="Times New Roman" w:cs="Times New Roman"/>
          <w:sz w:val="18"/>
          <w:szCs w:val="18"/>
          <w:lang w:val="en-US"/>
        </w:rPr>
        <w:footnoteRef/>
      </w:r>
      <w:r w:rsidRPr="00073A51">
        <w:rPr>
          <w:rFonts w:ascii="Times New Roman" w:hAnsi="Times New Roman" w:cs="Times New Roman"/>
          <w:sz w:val="18"/>
          <w:szCs w:val="18"/>
          <w:lang w:val="en-US"/>
        </w:rPr>
        <w:t xml:space="preserve"> European Court of Auditors, Special Report 2014/17, Can the EU’s </w:t>
      </w:r>
      <w:proofErr w:type="spellStart"/>
      <w:r w:rsidRPr="00073A51">
        <w:rPr>
          <w:rFonts w:ascii="Times New Roman" w:hAnsi="Times New Roman" w:cs="Times New Roman"/>
          <w:sz w:val="18"/>
          <w:szCs w:val="18"/>
          <w:lang w:val="en-US"/>
        </w:rPr>
        <w:t>Centres</w:t>
      </w:r>
      <w:proofErr w:type="spellEnd"/>
      <w:r w:rsidRPr="00073A51">
        <w:rPr>
          <w:rFonts w:ascii="Times New Roman" w:hAnsi="Times New Roman" w:cs="Times New Roman"/>
          <w:sz w:val="18"/>
          <w:szCs w:val="18"/>
          <w:lang w:val="en-US"/>
        </w:rPr>
        <w:t xml:space="preserve"> of Excellence initiative contribute effectively to mitigating chemical, biological, radiological and nuclear risks from outside the EU?, page 14.</w:t>
      </w:r>
    </w:p>
  </w:footnote>
  <w:footnote w:id="31">
    <w:p w:rsidR="00353A8B" w:rsidRPr="00D11FA2"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Council Conclusions and new lines for action by the European Union in combatting the proliferation of weapons of mass destruction and their delivery systems, 8-9 December 2008.</w:t>
      </w:r>
    </w:p>
  </w:footnote>
  <w:footnote w:id="32">
    <w:p w:rsidR="00353A8B" w:rsidRPr="00D11FA2"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w:t>
      </w:r>
      <w:r w:rsidRPr="00073A51">
        <w:rPr>
          <w:rFonts w:ascii="Times New Roman" w:hAnsi="Times New Roman" w:cs="Times New Roman"/>
          <w:lang w:val="en-US"/>
        </w:rPr>
        <w:t xml:space="preserve">Council conclusions on ensuring the continued pursuit of an effective </w:t>
      </w:r>
      <w:r w:rsidRPr="00073A51">
        <w:rPr>
          <w:rFonts w:ascii="Times New Roman" w:hAnsi="Times New Roman" w:cs="Times New Roman"/>
        </w:rPr>
        <w:t>EU</w:t>
      </w:r>
      <w:r w:rsidRPr="00073A51">
        <w:rPr>
          <w:rFonts w:ascii="Times New Roman" w:hAnsi="Times New Roman" w:cs="Times New Roman"/>
          <w:lang w:val="en-US"/>
        </w:rPr>
        <w:t xml:space="preserve"> policy on the new challenges presented by the proliferation of weapons of mass destruction (WMD) and their delivery systems </w:t>
      </w:r>
      <w:r w:rsidRPr="00D11FA2">
        <w:rPr>
          <w:rFonts w:ascii="Times New Roman" w:hAnsi="Times New Roman" w:cs="Times New Roman"/>
        </w:rPr>
        <w:t>Foreign Affairs</w:t>
      </w:r>
      <w:r w:rsidRPr="00D11FA2">
        <w:rPr>
          <w:rFonts w:ascii="Times New Roman" w:hAnsi="Times New Roman" w:cs="Times New Roman"/>
          <w:lang w:val="en-US"/>
        </w:rPr>
        <w:t xml:space="preserve"> Council meeting Luxembourg, 21 October 2013</w:t>
      </w:r>
      <w:r w:rsidRPr="00D11FA2">
        <w:rPr>
          <w:rFonts w:ascii="Times New Roman" w:hAnsi="Times New Roman" w:cs="Times New Roman"/>
        </w:rPr>
        <w:t>.</w:t>
      </w:r>
    </w:p>
  </w:footnote>
  <w:footnote w:id="33">
    <w:p w:rsidR="00353A8B" w:rsidRPr="008E5D5A" w:rsidRDefault="00353A8B" w:rsidP="005F7F0D">
      <w:pPr>
        <w:pStyle w:val="FootnoteText"/>
        <w:rPr>
          <w:rFonts w:ascii="Times New Roman" w:hAnsi="Times New Roman" w:cs="Times New Roman"/>
        </w:rPr>
      </w:pPr>
      <w:r w:rsidRPr="00073A51">
        <w:rPr>
          <w:rStyle w:val="FootnoteReference"/>
          <w:rFonts w:ascii="Times New Roman" w:hAnsi="Times New Roman" w:cs="Times New Roman"/>
        </w:rPr>
        <w:footnoteRef/>
      </w:r>
      <w:r w:rsidRPr="00073A51">
        <w:rPr>
          <w:rFonts w:ascii="Times New Roman" w:hAnsi="Times New Roman" w:cs="Times New Roman"/>
        </w:rPr>
        <w:t xml:space="preserve"> </w:t>
      </w:r>
      <w:hyperlink r:id="rId1" w:tooltip="1540: 10 years on: Opportunities, Challenges and Effective Practices for the Resolution’s Implementation" w:history="1">
        <w:r w:rsidRPr="00D11FA2">
          <w:rPr>
            <w:rStyle w:val="Hyperlink"/>
            <w:rFonts w:ascii="Times New Roman" w:hAnsi="Times New Roman" w:cs="Times New Roman"/>
          </w:rPr>
          <w:t>1540: 10 years on: Opportunities, Challenges and Effective Practices for the Resolution’s Implementation</w:t>
        </w:r>
      </w:hyperlink>
      <w:r w:rsidRPr="00073A51">
        <w:rPr>
          <w:rFonts w:ascii="Times New Roman" w:hAnsi="Times New Roman" w:cs="Times New Roman"/>
        </w:rPr>
        <w:t xml:space="preserve">,  Ian J Stewart, and Rajiv </w:t>
      </w:r>
      <w:proofErr w:type="spellStart"/>
      <w:r w:rsidRPr="00073A51">
        <w:rPr>
          <w:rFonts w:ascii="Times New Roman" w:hAnsi="Times New Roman" w:cs="Times New Roman"/>
        </w:rPr>
        <w:t>Nayan</w:t>
      </w:r>
      <w:proofErr w:type="spellEnd"/>
      <w:r w:rsidRPr="00073A51">
        <w:rPr>
          <w:rFonts w:ascii="Times New Roman" w:hAnsi="Times New Roman" w:cs="Times New Roman"/>
        </w:rPr>
        <w:t>, (2014), C</w:t>
      </w:r>
      <w:r w:rsidRPr="00073A51">
        <w:rPr>
          <w:rFonts w:ascii="Times New Roman" w:hAnsi="Times New Roman" w:cs="Times New Roman"/>
          <w:iCs/>
        </w:rPr>
        <w:t xml:space="preserve">SSS Occasional Paper, page </w:t>
      </w:r>
      <w:r w:rsidRPr="00D11FA2">
        <w:rPr>
          <w:rFonts w:ascii="Times New Roman" w:hAnsi="Times New Roman" w:cs="Times New Roman"/>
          <w:iCs/>
        </w:rPr>
        <w:t>15</w:t>
      </w:r>
      <w:r w:rsidR="008E5D5A" w:rsidRPr="00262F7D">
        <w:rPr>
          <w:rFonts w:ascii="Times New Roman" w:hAnsi="Times New Roman" w:cs="Times New Roman"/>
          <w:iCs/>
        </w:rPr>
        <w:t>.</w:t>
      </w:r>
    </w:p>
  </w:footnote>
  <w:footnote w:id="34">
    <w:p w:rsidR="00353A8B" w:rsidRPr="00073A51" w:rsidRDefault="00353A8B" w:rsidP="005F7F0D">
      <w:pPr>
        <w:pStyle w:val="FootnoteText"/>
        <w:rPr>
          <w:rFonts w:ascii="Times New Roman" w:hAnsi="Times New Roman" w:cs="Times New Roman"/>
          <w:lang w:val="nl-NL"/>
        </w:rPr>
      </w:pPr>
      <w:r w:rsidRPr="00073A51">
        <w:rPr>
          <w:rStyle w:val="FootnoteReference"/>
          <w:rFonts w:ascii="Times New Roman" w:hAnsi="Times New Roman" w:cs="Times New Roman"/>
        </w:rPr>
        <w:footnoteRef/>
      </w:r>
      <w:r w:rsidRPr="00073A51">
        <w:rPr>
          <w:rFonts w:ascii="Times New Roman" w:hAnsi="Times New Roman" w:cs="Times New Roman"/>
          <w:lang w:val="nl-NL"/>
        </w:rPr>
        <w:t xml:space="preserve">  Op Cit, page7.</w:t>
      </w:r>
    </w:p>
  </w:footnote>
  <w:footnote w:id="35">
    <w:p w:rsidR="00353A8B" w:rsidRPr="00073A51" w:rsidRDefault="00353A8B" w:rsidP="005F7F0D">
      <w:pPr>
        <w:pStyle w:val="FootnoteText"/>
        <w:rPr>
          <w:rFonts w:ascii="Times New Roman" w:hAnsi="Times New Roman" w:cs="Times New Roman"/>
          <w:lang w:val="nl-NL"/>
        </w:rPr>
      </w:pPr>
      <w:r w:rsidRPr="00073A51">
        <w:rPr>
          <w:rStyle w:val="FootnoteReference"/>
          <w:rFonts w:ascii="Times New Roman" w:hAnsi="Times New Roman" w:cs="Times New Roman"/>
        </w:rPr>
        <w:footnoteRef/>
      </w:r>
      <w:r w:rsidRPr="00073A51">
        <w:rPr>
          <w:rFonts w:ascii="Times New Roman" w:hAnsi="Times New Roman" w:cs="Times New Roman"/>
          <w:lang w:val="nl-NL"/>
        </w:rPr>
        <w:t xml:space="preserve"> www.wef.ch/coe.</w:t>
      </w:r>
    </w:p>
  </w:footnote>
  <w:footnote w:id="36">
    <w:p w:rsidR="00353A8B" w:rsidRPr="008E5D5A"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 xml:space="preserve">The dual-use export control policy review: balancing security, trade and academic freedom in a changing world, </w:t>
      </w:r>
      <w:proofErr w:type="spellStart"/>
      <w:r w:rsidRPr="00073A51">
        <w:rPr>
          <w:rFonts w:ascii="Times New Roman" w:hAnsi="Times New Roman" w:cs="Times New Roman"/>
        </w:rPr>
        <w:t>Sibylle</w:t>
      </w:r>
      <w:proofErr w:type="spellEnd"/>
      <w:r w:rsidRPr="00073A51">
        <w:rPr>
          <w:rFonts w:ascii="Times New Roman" w:hAnsi="Times New Roman" w:cs="Times New Roman"/>
        </w:rPr>
        <w:t xml:space="preserve"> </w:t>
      </w:r>
      <w:r w:rsidRPr="00D11FA2">
        <w:rPr>
          <w:rFonts w:ascii="Times New Roman" w:hAnsi="Times New Roman" w:cs="Times New Roman"/>
        </w:rPr>
        <w:t>Bauer and Mark Bromley, March 2016, NP paper 48</w:t>
      </w:r>
      <w:r w:rsidR="008E5D5A" w:rsidRPr="00262F7D">
        <w:rPr>
          <w:rFonts w:ascii="Times New Roman" w:hAnsi="Times New Roman" w:cs="Times New Roman"/>
        </w:rPr>
        <w:t>.</w:t>
      </w:r>
    </w:p>
  </w:footnote>
  <w:footnote w:id="37">
    <w:p w:rsidR="00374B0C" w:rsidRPr="008E5D5A" w:rsidRDefault="00374B0C" w:rsidP="00374B0C">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D11FA2">
        <w:rPr>
          <w:rFonts w:ascii="Times New Roman" w:hAnsi="Times New Roman" w:cs="Times New Roman"/>
          <w:lang w:val="en-US"/>
        </w:rPr>
        <w:t xml:space="preserve">The Dual-Use Dilemma: Raising Awareness among the Academic and Scientific Communities in Central Asia and Eastern Europe, </w:t>
      </w:r>
      <w:proofErr w:type="spellStart"/>
      <w:r w:rsidRPr="00D11FA2">
        <w:rPr>
          <w:rFonts w:ascii="Times New Roman" w:hAnsi="Times New Roman" w:cs="Times New Roman"/>
          <w:lang w:val="en-US"/>
        </w:rPr>
        <w:t>Maria.J.Espona</w:t>
      </w:r>
      <w:proofErr w:type="spellEnd"/>
      <w:r w:rsidRPr="00D11FA2">
        <w:rPr>
          <w:rFonts w:ascii="Times New Roman" w:hAnsi="Times New Roman" w:cs="Times New Roman"/>
          <w:lang w:val="en-US"/>
        </w:rPr>
        <w:t xml:space="preserve">, Jean-Pascal Zanders, </w:t>
      </w:r>
      <w:proofErr w:type="spellStart"/>
      <w:r w:rsidRPr="00D11FA2">
        <w:rPr>
          <w:rFonts w:ascii="Times New Roman" w:hAnsi="Times New Roman" w:cs="Times New Roman"/>
          <w:lang w:val="en-US"/>
        </w:rPr>
        <w:t>Ineke</w:t>
      </w:r>
      <w:proofErr w:type="spellEnd"/>
      <w:r w:rsidRPr="00D11FA2">
        <w:rPr>
          <w:rFonts w:ascii="Times New Roman" w:hAnsi="Times New Roman" w:cs="Times New Roman"/>
          <w:lang w:val="en-US"/>
        </w:rPr>
        <w:t xml:space="preserve"> March</w:t>
      </w:r>
      <w:r w:rsidRPr="00D11FA2">
        <w:rPr>
          <w:rFonts w:ascii="Times New Roman" w:hAnsi="Times New Roman" w:cs="Times New Roman"/>
        </w:rPr>
        <w:t>, contribution submitted to ISECON 2018</w:t>
      </w:r>
      <w:r w:rsidRPr="00D11FA2">
        <w:rPr>
          <w:rFonts w:ascii="Times New Roman" w:hAnsi="Times New Roman" w:cs="Times New Roman"/>
          <w:lang w:val="en-US"/>
        </w:rPr>
        <w:t xml:space="preserve"> – to </w:t>
      </w:r>
      <w:r w:rsidRPr="00D11FA2">
        <w:rPr>
          <w:rFonts w:ascii="Times New Roman" w:hAnsi="Times New Roman" w:cs="Times New Roman"/>
        </w:rPr>
        <w:t>be published</w:t>
      </w:r>
      <w:r w:rsidR="008E5D5A" w:rsidRPr="00262F7D">
        <w:rPr>
          <w:rFonts w:ascii="Times New Roman" w:hAnsi="Times New Roman" w:cs="Times New Roman"/>
        </w:rPr>
        <w:t>.</w:t>
      </w:r>
    </w:p>
  </w:footnote>
  <w:footnote w:id="38">
    <w:p w:rsidR="00374B0C" w:rsidRPr="008E5D5A" w:rsidRDefault="00374B0C">
      <w:pPr>
        <w:pStyle w:val="FootnoteText"/>
      </w:pPr>
      <w:r>
        <w:rPr>
          <w:rStyle w:val="FootnoteReference"/>
        </w:rPr>
        <w:footnoteRef/>
      </w:r>
      <w:r>
        <w:t xml:space="preserve"> </w:t>
      </w:r>
      <w:r w:rsidR="008E5D5A">
        <w:t>I</w:t>
      </w:r>
      <w:r>
        <w:t>bid</w:t>
      </w:r>
      <w:r w:rsidR="008E5D5A" w:rsidRPr="00262F7D">
        <w:t>.</w:t>
      </w:r>
    </w:p>
  </w:footnote>
  <w:footnote w:id="39">
    <w:p w:rsidR="00353A8B" w:rsidRPr="00D11FA2"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http://www.cefic.org/Responsible-Care</w:t>
      </w:r>
      <w:r w:rsidR="008E5D5A" w:rsidRPr="00262F7D">
        <w:rPr>
          <w:rFonts w:ascii="Times New Roman" w:hAnsi="Times New Roman" w:cs="Times New Roman"/>
        </w:rPr>
        <w:t>.</w:t>
      </w:r>
    </w:p>
  </w:footnote>
  <w:footnote w:id="40">
    <w:p w:rsidR="00353A8B" w:rsidRPr="00262F7D"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Op cit</w:t>
      </w:r>
      <w:r w:rsidR="008E5D5A" w:rsidRPr="00262F7D">
        <w:rPr>
          <w:rFonts w:ascii="Times New Roman" w:hAnsi="Times New Roman" w:cs="Times New Roman"/>
        </w:rPr>
        <w:t>.</w:t>
      </w:r>
    </w:p>
  </w:footnote>
  <w:footnote w:id="41">
    <w:p w:rsidR="00353A8B" w:rsidRPr="00D11FA2" w:rsidRDefault="00353A8B" w:rsidP="005F7F0D">
      <w:pPr>
        <w:pStyle w:val="FootnoteText"/>
        <w:rPr>
          <w:rFonts w:ascii="Times New Roman" w:hAnsi="Times New Roman" w:cs="Times New Roman"/>
          <w:lang w:val="en-US"/>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 xml:space="preserve">Interferences between non-proliferation and science: ‘exporting’ dual-use know-how and technology in conformity with security imperatives, </w:t>
      </w:r>
      <w:r w:rsidRPr="00073A51">
        <w:rPr>
          <w:rFonts w:ascii="Times New Roman" w:hAnsi="Times New Roman" w:cs="Times New Roman"/>
          <w:lang w:val="en-US"/>
        </w:rPr>
        <w:t xml:space="preserve">Christos </w:t>
      </w:r>
      <w:proofErr w:type="spellStart"/>
      <w:r w:rsidRPr="00073A51">
        <w:rPr>
          <w:rFonts w:ascii="Times New Roman" w:hAnsi="Times New Roman" w:cs="Times New Roman"/>
          <w:lang w:val="en-US"/>
        </w:rPr>
        <w:t>Charatsis</w:t>
      </w:r>
      <w:proofErr w:type="spellEnd"/>
      <w:r w:rsidRPr="00073A51">
        <w:rPr>
          <w:rFonts w:ascii="Times New Roman" w:hAnsi="Times New Roman" w:cs="Times New Roman"/>
        </w:rPr>
        <w:t>,</w:t>
      </w:r>
      <w:r w:rsidRPr="00073A51">
        <w:rPr>
          <w:rFonts w:ascii="Times New Roman" w:hAnsi="Times New Roman" w:cs="Times New Roman"/>
          <w:lang w:val="en-US"/>
        </w:rPr>
        <w:t xml:space="preserve"> 6 April 2016, University of Liege</w:t>
      </w:r>
      <w:r w:rsidRPr="00D11FA2">
        <w:rPr>
          <w:rFonts w:ascii="Times New Roman" w:hAnsi="Times New Roman" w:cs="Times New Roman"/>
        </w:rPr>
        <w:t>.</w:t>
      </w:r>
    </w:p>
  </w:footnote>
  <w:footnote w:id="42">
    <w:p w:rsidR="00353A8B" w:rsidRPr="00262F7D"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hyperlink r:id="rId2" w:history="1">
        <w:r w:rsidRPr="00D11FA2">
          <w:rPr>
            <w:rStyle w:val="Hyperlink"/>
            <w:rFonts w:ascii="Times New Roman" w:hAnsi="Times New Roman" w:cs="Times New Roman"/>
          </w:rPr>
          <w:t>www.iaea.org</w:t>
        </w:r>
      </w:hyperlink>
      <w:r w:rsidRPr="00D11FA2">
        <w:rPr>
          <w:rFonts w:ascii="Times New Roman" w:hAnsi="Times New Roman" w:cs="Times New Roman"/>
        </w:rPr>
        <w:t>. Code of Conduct</w:t>
      </w:r>
      <w:r w:rsidR="008E5D5A" w:rsidRPr="00262F7D">
        <w:rPr>
          <w:rFonts w:ascii="Times New Roman" w:hAnsi="Times New Roman" w:cs="Times New Roman"/>
        </w:rPr>
        <w:t>.</w:t>
      </w:r>
    </w:p>
  </w:footnote>
  <w:footnote w:id="43">
    <w:p w:rsidR="00353A8B" w:rsidRPr="00D11FA2"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There is presently no clear guidance on how early in the scientific process proliferation risks should be taken into account. Export control guidelines exempt ‘basic scientific research’ but this is somewhat of a nebulous term. To add clarity, governments and researchers are exploring the use of ‘Technology Readiness Levels’ as a means to gauge how early in the scientific process regulation should kick in. It could be argued that responsible scientists would seek to understand risks even before the point at which regulation takes effect, which is perhaps the purpose of codes of conduct. See for example, Stewart, I., “Examining Intangible Technology Controls” </w:t>
      </w:r>
      <w:r w:rsidRPr="00262F7D">
        <w:t>https://projectalpha.eu/examining-intangible-controls</w:t>
      </w:r>
      <w:r w:rsidR="008E5D5A" w:rsidRPr="00262F7D">
        <w:rPr>
          <w:rFonts w:ascii="Times New Roman" w:hAnsi="Times New Roman" w:cs="Times New Roman"/>
        </w:rPr>
        <w:t>.</w:t>
      </w:r>
    </w:p>
  </w:footnote>
  <w:footnote w:id="44">
    <w:p w:rsidR="00353A8B" w:rsidRPr="00073A51"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In the 2014 to 2020 period, the Horizon 2020 programme is allocating some 1.7 billion euro to security research. This is about 50% of all public financing for civil security research in the EU. EU-funded security research brings together policy-makers and practitioners as well as industry and academia.</w:t>
      </w:r>
    </w:p>
  </w:footnote>
  <w:footnote w:id="45">
    <w:p w:rsidR="00353A8B" w:rsidRPr="00073A51" w:rsidRDefault="00353A8B" w:rsidP="005F7F0D">
      <w:pPr>
        <w:pStyle w:val="FootnoteText"/>
        <w:rPr>
          <w:rFonts w:ascii="Times New Roman" w:hAnsi="Times New Roman" w:cs="Times New Roman"/>
          <w:lang w:val="en-US"/>
        </w:rPr>
      </w:pPr>
      <w:r w:rsidRPr="00D11FA2">
        <w:rPr>
          <w:rStyle w:val="FootnoteReference"/>
          <w:rFonts w:ascii="Times New Roman" w:hAnsi="Times New Roman" w:cs="Times New Roman"/>
        </w:rPr>
        <w:footnoteRef/>
      </w:r>
      <w:r w:rsidRPr="00073A51">
        <w:rPr>
          <w:rFonts w:ascii="Times New Roman" w:hAnsi="Times New Roman" w:cs="Times New Roman"/>
        </w:rPr>
        <w:t xml:space="preserve">EC Guidance note — Research involving dual-use items. European Commission: http://ec.europa.eu/research/participants/data/ref/h2020/other/hi/guide_research-dual-use_en.pdf </w:t>
      </w:r>
    </w:p>
  </w:footnote>
  <w:footnote w:id="46">
    <w:p w:rsidR="00353A8B" w:rsidRPr="00D11FA2" w:rsidRDefault="00353A8B" w:rsidP="005F7F0D">
      <w:pPr>
        <w:pStyle w:val="FootnoteText"/>
        <w:rPr>
          <w:rFonts w:ascii="Times New Roman" w:hAnsi="Times New Roman" w:cs="Times New Roman"/>
          <w:lang w:val="en-US"/>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S. Limage. Non- proliferation Programs: Sustaining the Momentum, Arms Control Today, Washington, May 2017.It provides also further details on the negotiation process towards the  re</w:t>
      </w:r>
      <w:r w:rsidRPr="00D11FA2">
        <w:rPr>
          <w:rFonts w:ascii="Times New Roman" w:hAnsi="Times New Roman" w:cs="Times New Roman"/>
        </w:rPr>
        <w:t>newed agreement.</w:t>
      </w:r>
    </w:p>
  </w:footnote>
  <w:footnote w:id="47">
    <w:p w:rsidR="00353A8B" w:rsidRPr="00D11FA2"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Annual Statement 2017 by Ronald. F. Lehman, Chair of the ISTC Board, to be published.</w:t>
      </w:r>
    </w:p>
  </w:footnote>
  <w:footnote w:id="48">
    <w:p w:rsidR="00353A8B" w:rsidRPr="00D11FA2" w:rsidRDefault="00353A8B" w:rsidP="005F7F0D">
      <w:pPr>
        <w:pStyle w:val="FootnoteText"/>
        <w:rPr>
          <w:rFonts w:ascii="Times New Roman" w:hAnsi="Times New Roman" w:cs="Times New Roman"/>
        </w:rPr>
      </w:pPr>
      <w:r w:rsidRPr="00D11FA2">
        <w:rPr>
          <w:rStyle w:val="FootnoteReference"/>
          <w:rFonts w:ascii="Times New Roman" w:hAnsi="Times New Roman" w:cs="Times New Roman"/>
        </w:rPr>
        <w:footnoteRef/>
      </w:r>
      <w:r w:rsidRPr="00D11FA2">
        <w:rPr>
          <w:rFonts w:ascii="Times New Roman" w:hAnsi="Times New Roman" w:cs="Times New Roman"/>
        </w:rPr>
        <w:t xml:space="preserve"> </w:t>
      </w:r>
      <w:r w:rsidRPr="00073A51">
        <w:rPr>
          <w:rFonts w:ascii="Times New Roman" w:hAnsi="Times New Roman" w:cs="Times New Roman"/>
        </w:rPr>
        <w:t>Cooperation and Threat Reduction: Learning Curves and Forgetting curves, Opening Remarks by Ronald. F. Lehman, NAS CTR Workshop, Washington, 18-19 September 2017, p</w:t>
      </w:r>
      <w:r w:rsidRPr="00D11FA2">
        <w:rPr>
          <w:rFonts w:ascii="Times New Roman" w:hAnsi="Times New Roman" w:cs="Times New Roman"/>
        </w:rPr>
        <w:t>age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25092"/>
    <w:multiLevelType w:val="hybridMultilevel"/>
    <w:tmpl w:val="92E4BCAA"/>
    <w:lvl w:ilvl="0" w:tplc="AAD89C74">
      <w:numFmt w:val="bullet"/>
      <w:lvlText w:val="-"/>
      <w:lvlJc w:val="left"/>
      <w:pPr>
        <w:ind w:left="1140" w:hanging="7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7667"/>
    <w:multiLevelType w:val="hybridMultilevel"/>
    <w:tmpl w:val="5412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7D58"/>
    <w:multiLevelType w:val="multilevel"/>
    <w:tmpl w:val="C414D81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1DC258DD"/>
    <w:multiLevelType w:val="hybridMultilevel"/>
    <w:tmpl w:val="A9547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625675"/>
    <w:multiLevelType w:val="hybridMultilevel"/>
    <w:tmpl w:val="87F8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20C92"/>
    <w:multiLevelType w:val="hybridMultilevel"/>
    <w:tmpl w:val="760410EA"/>
    <w:lvl w:ilvl="0" w:tplc="04090001">
      <w:start w:val="1"/>
      <w:numFmt w:val="bullet"/>
      <w:lvlText w:val=""/>
      <w:lvlJc w:val="left"/>
      <w:pPr>
        <w:ind w:left="1080" w:hanging="360"/>
      </w:pPr>
      <w:rPr>
        <w:rFonts w:ascii="Symbol" w:hAnsi="Symbol" w:hint="default"/>
      </w:rPr>
    </w:lvl>
    <w:lvl w:ilvl="1" w:tplc="21BCA59E">
      <w:numFmt w:val="bullet"/>
      <w:lvlText w:val="-"/>
      <w:lvlJc w:val="left"/>
      <w:pPr>
        <w:ind w:left="1800" w:hanging="360"/>
      </w:pPr>
      <w:rPr>
        <w:rFonts w:ascii="Times New Roman" w:eastAsiaTheme="minorHAnsi" w:hAnsi="Times New Roman" w:cs="Times New Roman"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DB409E"/>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EF3D70"/>
    <w:multiLevelType w:val="hybridMultilevel"/>
    <w:tmpl w:val="6FD84A7C"/>
    <w:lvl w:ilvl="0" w:tplc="AAD89C74">
      <w:numFmt w:val="bullet"/>
      <w:lvlText w:val="-"/>
      <w:lvlJc w:val="left"/>
      <w:pPr>
        <w:ind w:left="1500" w:hanging="78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A936E9"/>
    <w:multiLevelType w:val="hybridMultilevel"/>
    <w:tmpl w:val="79B4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76BF8"/>
    <w:multiLevelType w:val="hybridMultilevel"/>
    <w:tmpl w:val="901AE21E"/>
    <w:lvl w:ilvl="0" w:tplc="2326B512">
      <w:start w:val="1"/>
      <w:numFmt w:val="decimal"/>
      <w:lvlText w:val="%1."/>
      <w:lvlJc w:val="left"/>
      <w:pPr>
        <w:ind w:left="122" w:hanging="378"/>
      </w:pPr>
      <w:rPr>
        <w:rFonts w:hint="default"/>
        <w:w w:val="104"/>
      </w:rPr>
    </w:lvl>
    <w:lvl w:ilvl="1" w:tplc="F9BEA3A2">
      <w:numFmt w:val="bullet"/>
      <w:lvlText w:val="•"/>
      <w:lvlJc w:val="left"/>
      <w:pPr>
        <w:ind w:left="1056" w:hanging="378"/>
      </w:pPr>
      <w:rPr>
        <w:rFonts w:hint="default"/>
      </w:rPr>
    </w:lvl>
    <w:lvl w:ilvl="2" w:tplc="130AD69E">
      <w:numFmt w:val="bullet"/>
      <w:lvlText w:val="•"/>
      <w:lvlJc w:val="left"/>
      <w:pPr>
        <w:ind w:left="1992" w:hanging="378"/>
      </w:pPr>
      <w:rPr>
        <w:rFonts w:hint="default"/>
      </w:rPr>
    </w:lvl>
    <w:lvl w:ilvl="3" w:tplc="EC0ADE08">
      <w:numFmt w:val="bullet"/>
      <w:lvlText w:val="•"/>
      <w:lvlJc w:val="left"/>
      <w:pPr>
        <w:ind w:left="2928" w:hanging="378"/>
      </w:pPr>
      <w:rPr>
        <w:rFonts w:hint="default"/>
      </w:rPr>
    </w:lvl>
    <w:lvl w:ilvl="4" w:tplc="58508886">
      <w:numFmt w:val="bullet"/>
      <w:lvlText w:val="•"/>
      <w:lvlJc w:val="left"/>
      <w:pPr>
        <w:ind w:left="3864" w:hanging="378"/>
      </w:pPr>
      <w:rPr>
        <w:rFonts w:hint="default"/>
      </w:rPr>
    </w:lvl>
    <w:lvl w:ilvl="5" w:tplc="FF68CE64">
      <w:numFmt w:val="bullet"/>
      <w:lvlText w:val="•"/>
      <w:lvlJc w:val="left"/>
      <w:pPr>
        <w:ind w:left="4800" w:hanging="378"/>
      </w:pPr>
      <w:rPr>
        <w:rFonts w:hint="default"/>
      </w:rPr>
    </w:lvl>
    <w:lvl w:ilvl="6" w:tplc="7D9687AA">
      <w:numFmt w:val="bullet"/>
      <w:lvlText w:val="•"/>
      <w:lvlJc w:val="left"/>
      <w:pPr>
        <w:ind w:left="5736" w:hanging="378"/>
      </w:pPr>
      <w:rPr>
        <w:rFonts w:hint="default"/>
      </w:rPr>
    </w:lvl>
    <w:lvl w:ilvl="7" w:tplc="23444B28">
      <w:numFmt w:val="bullet"/>
      <w:lvlText w:val="•"/>
      <w:lvlJc w:val="left"/>
      <w:pPr>
        <w:ind w:left="6672" w:hanging="378"/>
      </w:pPr>
      <w:rPr>
        <w:rFonts w:hint="default"/>
      </w:rPr>
    </w:lvl>
    <w:lvl w:ilvl="8" w:tplc="91A4CFAA">
      <w:numFmt w:val="bullet"/>
      <w:lvlText w:val="•"/>
      <w:lvlJc w:val="left"/>
      <w:pPr>
        <w:ind w:left="7608" w:hanging="378"/>
      </w:pPr>
      <w:rPr>
        <w:rFonts w:hint="default"/>
      </w:rPr>
    </w:lvl>
  </w:abstractNum>
  <w:abstractNum w:abstractNumId="10" w15:restartNumberingAfterBreak="0">
    <w:nsid w:val="4F3C63FE"/>
    <w:multiLevelType w:val="hybridMultilevel"/>
    <w:tmpl w:val="CBD415C8"/>
    <w:lvl w:ilvl="0" w:tplc="E52454A2">
      <w:start w:val="1"/>
      <w:numFmt w:val="upperRoman"/>
      <w:lvlText w:val="%1."/>
      <w:lvlJc w:val="left"/>
      <w:pPr>
        <w:ind w:left="341" w:hanging="234"/>
      </w:pPr>
      <w:rPr>
        <w:rFonts w:ascii="Times New Roman" w:eastAsia="Times New Roman" w:hAnsi="Times New Roman" w:cs="Times New Roman" w:hint="default"/>
        <w:color w:val="3B3D3F"/>
        <w:spacing w:val="-1"/>
        <w:w w:val="105"/>
        <w:sz w:val="29"/>
        <w:szCs w:val="29"/>
      </w:rPr>
    </w:lvl>
    <w:lvl w:ilvl="1" w:tplc="43A0A44E">
      <w:start w:val="1"/>
      <w:numFmt w:val="decimal"/>
      <w:lvlText w:val="%2."/>
      <w:lvlJc w:val="left"/>
      <w:pPr>
        <w:ind w:left="783" w:hanging="347"/>
      </w:pPr>
      <w:rPr>
        <w:rFonts w:hint="default"/>
        <w:spacing w:val="-1"/>
        <w:w w:val="105"/>
      </w:rPr>
    </w:lvl>
    <w:lvl w:ilvl="2" w:tplc="DF488E78">
      <w:numFmt w:val="bullet"/>
      <w:lvlText w:val="•"/>
      <w:lvlJc w:val="left"/>
      <w:pPr>
        <w:ind w:left="1744" w:hanging="347"/>
      </w:pPr>
      <w:rPr>
        <w:rFonts w:hint="default"/>
      </w:rPr>
    </w:lvl>
    <w:lvl w:ilvl="3" w:tplc="1AD49BB2">
      <w:numFmt w:val="bullet"/>
      <w:lvlText w:val="•"/>
      <w:lvlJc w:val="left"/>
      <w:pPr>
        <w:ind w:left="2708" w:hanging="347"/>
      </w:pPr>
      <w:rPr>
        <w:rFonts w:hint="default"/>
      </w:rPr>
    </w:lvl>
    <w:lvl w:ilvl="4" w:tplc="6B367E26">
      <w:numFmt w:val="bullet"/>
      <w:lvlText w:val="•"/>
      <w:lvlJc w:val="left"/>
      <w:pPr>
        <w:ind w:left="3673" w:hanging="347"/>
      </w:pPr>
      <w:rPr>
        <w:rFonts w:hint="default"/>
      </w:rPr>
    </w:lvl>
    <w:lvl w:ilvl="5" w:tplc="EA5087FE">
      <w:numFmt w:val="bullet"/>
      <w:lvlText w:val="•"/>
      <w:lvlJc w:val="left"/>
      <w:pPr>
        <w:ind w:left="4637" w:hanging="347"/>
      </w:pPr>
      <w:rPr>
        <w:rFonts w:hint="default"/>
      </w:rPr>
    </w:lvl>
    <w:lvl w:ilvl="6" w:tplc="B93A6134">
      <w:numFmt w:val="bullet"/>
      <w:lvlText w:val="•"/>
      <w:lvlJc w:val="left"/>
      <w:pPr>
        <w:ind w:left="5602" w:hanging="347"/>
      </w:pPr>
      <w:rPr>
        <w:rFonts w:hint="default"/>
      </w:rPr>
    </w:lvl>
    <w:lvl w:ilvl="7" w:tplc="835AAC36">
      <w:numFmt w:val="bullet"/>
      <w:lvlText w:val="•"/>
      <w:lvlJc w:val="left"/>
      <w:pPr>
        <w:ind w:left="6566" w:hanging="347"/>
      </w:pPr>
      <w:rPr>
        <w:rFonts w:hint="default"/>
      </w:rPr>
    </w:lvl>
    <w:lvl w:ilvl="8" w:tplc="2A92A1B8">
      <w:numFmt w:val="bullet"/>
      <w:lvlText w:val="•"/>
      <w:lvlJc w:val="left"/>
      <w:pPr>
        <w:ind w:left="7531" w:hanging="347"/>
      </w:pPr>
      <w:rPr>
        <w:rFonts w:hint="default"/>
      </w:rPr>
    </w:lvl>
  </w:abstractNum>
  <w:abstractNum w:abstractNumId="11" w15:restartNumberingAfterBreak="0">
    <w:nsid w:val="6EC958F2"/>
    <w:multiLevelType w:val="hybridMultilevel"/>
    <w:tmpl w:val="ECBE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76A64"/>
    <w:multiLevelType w:val="hybridMultilevel"/>
    <w:tmpl w:val="780CC2D8"/>
    <w:lvl w:ilvl="0" w:tplc="5762D2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1"/>
  </w:num>
  <w:num w:numId="5">
    <w:abstractNumId w:val="0"/>
  </w:num>
  <w:num w:numId="6">
    <w:abstractNumId w:val="7"/>
  </w:num>
  <w:num w:numId="7">
    <w:abstractNumId w:val="3"/>
  </w:num>
  <w:num w:numId="8">
    <w:abstractNumId w:val="5"/>
  </w:num>
  <w:num w:numId="9">
    <w:abstractNumId w:val="8"/>
  </w:num>
  <w:num w:numId="10">
    <w:abstractNumId w:val="11"/>
  </w:num>
  <w:num w:numId="11">
    <w:abstractNumId w:val="4"/>
  </w:num>
  <w:num w:numId="12">
    <w:abstractNumId w:val="2"/>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0D"/>
    <w:rsid w:val="0000662E"/>
    <w:rsid w:val="000131A4"/>
    <w:rsid w:val="000F0800"/>
    <w:rsid w:val="001144A2"/>
    <w:rsid w:val="00155782"/>
    <w:rsid w:val="001A04D2"/>
    <w:rsid w:val="001A4956"/>
    <w:rsid w:val="001B46EC"/>
    <w:rsid w:val="001C0FB8"/>
    <w:rsid w:val="002074B2"/>
    <w:rsid w:val="00262F7D"/>
    <w:rsid w:val="002D3AA6"/>
    <w:rsid w:val="00321FE4"/>
    <w:rsid w:val="0034611F"/>
    <w:rsid w:val="00353A8B"/>
    <w:rsid w:val="00374B0C"/>
    <w:rsid w:val="003B1D8B"/>
    <w:rsid w:val="004342FB"/>
    <w:rsid w:val="0048529D"/>
    <w:rsid w:val="004D3250"/>
    <w:rsid w:val="005202A0"/>
    <w:rsid w:val="00563399"/>
    <w:rsid w:val="005F7F0D"/>
    <w:rsid w:val="006106EF"/>
    <w:rsid w:val="00641F41"/>
    <w:rsid w:val="00653362"/>
    <w:rsid w:val="0076118D"/>
    <w:rsid w:val="007B3852"/>
    <w:rsid w:val="00810347"/>
    <w:rsid w:val="00820945"/>
    <w:rsid w:val="0087331A"/>
    <w:rsid w:val="008C01AB"/>
    <w:rsid w:val="008D6022"/>
    <w:rsid w:val="008E5D5A"/>
    <w:rsid w:val="0093274A"/>
    <w:rsid w:val="00943EFC"/>
    <w:rsid w:val="009A7CB9"/>
    <w:rsid w:val="00B046D7"/>
    <w:rsid w:val="00B1509A"/>
    <w:rsid w:val="00B55D06"/>
    <w:rsid w:val="00B75E72"/>
    <w:rsid w:val="00C80F23"/>
    <w:rsid w:val="00E70EAA"/>
    <w:rsid w:val="00EC1D7E"/>
    <w:rsid w:val="00FE37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B7DB2D2-C18A-484A-BFC3-BA702226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F0D"/>
  </w:style>
  <w:style w:type="paragraph" w:styleId="Heading1">
    <w:name w:val="heading 1"/>
    <w:basedOn w:val="Normal"/>
    <w:next w:val="Normal"/>
    <w:link w:val="Heading1Char"/>
    <w:uiPriority w:val="9"/>
    <w:qFormat/>
    <w:rsid w:val="005F7F0D"/>
    <w:pPr>
      <w:keepNext/>
      <w:keepLines/>
      <w:numPr>
        <w:numId w:val="1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7F0D"/>
    <w:pPr>
      <w:keepNext/>
      <w:keepLines/>
      <w:numPr>
        <w:ilvl w:val="1"/>
        <w:numId w:val="1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7F0D"/>
    <w:pPr>
      <w:keepNext/>
      <w:keepLines/>
      <w:numPr>
        <w:ilvl w:val="2"/>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B46EC"/>
    <w:pPr>
      <w:keepNext/>
      <w:keepLines/>
      <w:numPr>
        <w:ilvl w:val="3"/>
        <w:numId w:val="12"/>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B46EC"/>
    <w:pPr>
      <w:keepNext/>
      <w:keepLines/>
      <w:numPr>
        <w:ilvl w:val="4"/>
        <w:numId w:val="12"/>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B46EC"/>
    <w:pPr>
      <w:keepNext/>
      <w:keepLines/>
      <w:numPr>
        <w:ilvl w:val="5"/>
        <w:numId w:val="12"/>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B46EC"/>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46EC"/>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B46EC"/>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7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7F0D"/>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5F7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F0D"/>
    <w:rPr>
      <w:sz w:val="20"/>
      <w:szCs w:val="20"/>
    </w:rPr>
  </w:style>
  <w:style w:type="character" w:styleId="FootnoteReference">
    <w:name w:val="footnote reference"/>
    <w:basedOn w:val="DefaultParagraphFont"/>
    <w:uiPriority w:val="99"/>
    <w:semiHidden/>
    <w:unhideWhenUsed/>
    <w:rsid w:val="005F7F0D"/>
    <w:rPr>
      <w:vertAlign w:val="superscript"/>
    </w:rPr>
  </w:style>
  <w:style w:type="character" w:styleId="Emphasis">
    <w:name w:val="Emphasis"/>
    <w:basedOn w:val="DefaultParagraphFont"/>
    <w:uiPriority w:val="20"/>
    <w:qFormat/>
    <w:rsid w:val="005F7F0D"/>
    <w:rPr>
      <w:i/>
      <w:iCs/>
    </w:rPr>
  </w:style>
  <w:style w:type="paragraph" w:styleId="Header">
    <w:name w:val="header"/>
    <w:basedOn w:val="Normal"/>
    <w:link w:val="HeaderChar"/>
    <w:uiPriority w:val="99"/>
    <w:unhideWhenUsed/>
    <w:rsid w:val="005F7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F0D"/>
  </w:style>
  <w:style w:type="paragraph" w:styleId="Footer">
    <w:name w:val="footer"/>
    <w:basedOn w:val="Normal"/>
    <w:link w:val="FooterChar"/>
    <w:uiPriority w:val="99"/>
    <w:unhideWhenUsed/>
    <w:rsid w:val="005F7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F0D"/>
  </w:style>
  <w:style w:type="paragraph" w:styleId="ListParagraph">
    <w:name w:val="List Paragraph"/>
    <w:basedOn w:val="Normal"/>
    <w:uiPriority w:val="34"/>
    <w:qFormat/>
    <w:rsid w:val="005F7F0D"/>
    <w:pPr>
      <w:ind w:left="720"/>
      <w:contextualSpacing/>
    </w:pPr>
  </w:style>
  <w:style w:type="paragraph" w:styleId="BodyText">
    <w:name w:val="Body Text"/>
    <w:basedOn w:val="Normal"/>
    <w:link w:val="BodyTextChar"/>
    <w:uiPriority w:val="99"/>
    <w:semiHidden/>
    <w:unhideWhenUsed/>
    <w:rsid w:val="005F7F0D"/>
    <w:pPr>
      <w:spacing w:after="120"/>
    </w:pPr>
  </w:style>
  <w:style w:type="character" w:customStyle="1" w:styleId="BodyTextChar">
    <w:name w:val="Body Text Char"/>
    <w:basedOn w:val="DefaultParagraphFont"/>
    <w:link w:val="BodyText"/>
    <w:uiPriority w:val="99"/>
    <w:semiHidden/>
    <w:rsid w:val="005F7F0D"/>
  </w:style>
  <w:style w:type="character" w:styleId="CommentReference">
    <w:name w:val="annotation reference"/>
    <w:basedOn w:val="DefaultParagraphFont"/>
    <w:uiPriority w:val="99"/>
    <w:semiHidden/>
    <w:unhideWhenUsed/>
    <w:rsid w:val="005F7F0D"/>
    <w:rPr>
      <w:sz w:val="16"/>
      <w:szCs w:val="16"/>
    </w:rPr>
  </w:style>
  <w:style w:type="paragraph" w:styleId="CommentText">
    <w:name w:val="annotation text"/>
    <w:basedOn w:val="Normal"/>
    <w:link w:val="CommentTextChar"/>
    <w:uiPriority w:val="99"/>
    <w:semiHidden/>
    <w:unhideWhenUsed/>
    <w:rsid w:val="005F7F0D"/>
    <w:pPr>
      <w:spacing w:line="240" w:lineRule="auto"/>
    </w:pPr>
    <w:rPr>
      <w:sz w:val="20"/>
      <w:szCs w:val="20"/>
    </w:rPr>
  </w:style>
  <w:style w:type="character" w:customStyle="1" w:styleId="CommentTextChar">
    <w:name w:val="Comment Text Char"/>
    <w:basedOn w:val="DefaultParagraphFont"/>
    <w:link w:val="CommentText"/>
    <w:uiPriority w:val="99"/>
    <w:semiHidden/>
    <w:rsid w:val="005F7F0D"/>
    <w:rPr>
      <w:sz w:val="20"/>
      <w:szCs w:val="20"/>
    </w:rPr>
  </w:style>
  <w:style w:type="paragraph" w:styleId="CommentSubject">
    <w:name w:val="annotation subject"/>
    <w:basedOn w:val="CommentText"/>
    <w:next w:val="CommentText"/>
    <w:link w:val="CommentSubjectChar"/>
    <w:uiPriority w:val="99"/>
    <w:semiHidden/>
    <w:unhideWhenUsed/>
    <w:rsid w:val="005F7F0D"/>
    <w:rPr>
      <w:b/>
      <w:bCs/>
    </w:rPr>
  </w:style>
  <w:style w:type="character" w:customStyle="1" w:styleId="CommentSubjectChar">
    <w:name w:val="Comment Subject Char"/>
    <w:basedOn w:val="CommentTextChar"/>
    <w:link w:val="CommentSubject"/>
    <w:uiPriority w:val="99"/>
    <w:semiHidden/>
    <w:rsid w:val="005F7F0D"/>
    <w:rPr>
      <w:b/>
      <w:bCs/>
      <w:sz w:val="20"/>
      <w:szCs w:val="20"/>
    </w:rPr>
  </w:style>
  <w:style w:type="paragraph" w:styleId="Revision">
    <w:name w:val="Revision"/>
    <w:hidden/>
    <w:uiPriority w:val="99"/>
    <w:semiHidden/>
    <w:rsid w:val="005F7F0D"/>
    <w:pPr>
      <w:spacing w:after="0" w:line="240" w:lineRule="auto"/>
    </w:pPr>
  </w:style>
  <w:style w:type="paragraph" w:styleId="BalloonText">
    <w:name w:val="Balloon Text"/>
    <w:basedOn w:val="Normal"/>
    <w:link w:val="BalloonTextChar"/>
    <w:uiPriority w:val="99"/>
    <w:semiHidden/>
    <w:unhideWhenUsed/>
    <w:rsid w:val="005F7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0D"/>
    <w:rPr>
      <w:rFonts w:ascii="Segoe UI" w:hAnsi="Segoe UI" w:cs="Segoe UI"/>
      <w:sz w:val="18"/>
      <w:szCs w:val="18"/>
    </w:rPr>
  </w:style>
  <w:style w:type="character" w:styleId="Hyperlink">
    <w:name w:val="Hyperlink"/>
    <w:basedOn w:val="DefaultParagraphFont"/>
    <w:uiPriority w:val="99"/>
    <w:unhideWhenUsed/>
    <w:rsid w:val="005F7F0D"/>
    <w:rPr>
      <w:color w:val="0563C1" w:themeColor="hyperlink"/>
      <w:u w:val="single"/>
    </w:rPr>
  </w:style>
  <w:style w:type="paragraph" w:styleId="TOCHeading">
    <w:name w:val="TOC Heading"/>
    <w:basedOn w:val="Heading1"/>
    <w:next w:val="Normal"/>
    <w:uiPriority w:val="39"/>
    <w:unhideWhenUsed/>
    <w:qFormat/>
    <w:rsid w:val="005F7F0D"/>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5F7F0D"/>
    <w:pPr>
      <w:spacing w:before="120" w:after="0"/>
    </w:pPr>
    <w:rPr>
      <w:rFonts w:cstheme="minorHAnsi"/>
      <w:b/>
      <w:bCs/>
      <w:i/>
      <w:iCs/>
      <w:sz w:val="24"/>
      <w:szCs w:val="24"/>
    </w:rPr>
  </w:style>
  <w:style w:type="paragraph" w:styleId="TOC2">
    <w:name w:val="toc 2"/>
    <w:basedOn w:val="Normal"/>
    <w:next w:val="Normal"/>
    <w:autoRedefine/>
    <w:uiPriority w:val="39"/>
    <w:unhideWhenUsed/>
    <w:rsid w:val="005F7F0D"/>
    <w:pPr>
      <w:tabs>
        <w:tab w:val="right" w:leader="dot" w:pos="9016"/>
      </w:tabs>
      <w:spacing w:before="120" w:after="0"/>
      <w:ind w:left="220"/>
    </w:pPr>
    <w:rPr>
      <w:rFonts w:cstheme="minorHAnsi"/>
      <w:b/>
      <w:bCs/>
    </w:rPr>
  </w:style>
  <w:style w:type="paragraph" w:styleId="TOC3">
    <w:name w:val="toc 3"/>
    <w:basedOn w:val="Normal"/>
    <w:next w:val="Normal"/>
    <w:autoRedefine/>
    <w:uiPriority w:val="39"/>
    <w:unhideWhenUsed/>
    <w:rsid w:val="005F7F0D"/>
    <w:pPr>
      <w:spacing w:after="0"/>
      <w:ind w:left="440"/>
    </w:pPr>
    <w:rPr>
      <w:rFonts w:cstheme="minorHAnsi"/>
      <w:sz w:val="20"/>
      <w:szCs w:val="20"/>
    </w:rPr>
  </w:style>
  <w:style w:type="paragraph" w:styleId="TOC4">
    <w:name w:val="toc 4"/>
    <w:basedOn w:val="Normal"/>
    <w:next w:val="Normal"/>
    <w:autoRedefine/>
    <w:uiPriority w:val="39"/>
    <w:semiHidden/>
    <w:unhideWhenUsed/>
    <w:rsid w:val="005F7F0D"/>
    <w:pPr>
      <w:spacing w:after="0"/>
      <w:ind w:left="660"/>
    </w:pPr>
    <w:rPr>
      <w:rFonts w:cstheme="minorHAnsi"/>
      <w:sz w:val="20"/>
      <w:szCs w:val="20"/>
    </w:rPr>
  </w:style>
  <w:style w:type="paragraph" w:styleId="TOC5">
    <w:name w:val="toc 5"/>
    <w:basedOn w:val="Normal"/>
    <w:next w:val="Normal"/>
    <w:autoRedefine/>
    <w:uiPriority w:val="39"/>
    <w:semiHidden/>
    <w:unhideWhenUsed/>
    <w:rsid w:val="005F7F0D"/>
    <w:pPr>
      <w:spacing w:after="0"/>
      <w:ind w:left="880"/>
    </w:pPr>
    <w:rPr>
      <w:rFonts w:cstheme="minorHAnsi"/>
      <w:sz w:val="20"/>
      <w:szCs w:val="20"/>
    </w:rPr>
  </w:style>
  <w:style w:type="paragraph" w:styleId="TOC6">
    <w:name w:val="toc 6"/>
    <w:basedOn w:val="Normal"/>
    <w:next w:val="Normal"/>
    <w:autoRedefine/>
    <w:uiPriority w:val="39"/>
    <w:semiHidden/>
    <w:unhideWhenUsed/>
    <w:rsid w:val="005F7F0D"/>
    <w:pPr>
      <w:spacing w:after="0"/>
      <w:ind w:left="1100"/>
    </w:pPr>
    <w:rPr>
      <w:rFonts w:cstheme="minorHAnsi"/>
      <w:sz w:val="20"/>
      <w:szCs w:val="20"/>
    </w:rPr>
  </w:style>
  <w:style w:type="paragraph" w:styleId="TOC7">
    <w:name w:val="toc 7"/>
    <w:basedOn w:val="Normal"/>
    <w:next w:val="Normal"/>
    <w:autoRedefine/>
    <w:uiPriority w:val="39"/>
    <w:semiHidden/>
    <w:unhideWhenUsed/>
    <w:rsid w:val="005F7F0D"/>
    <w:pPr>
      <w:spacing w:after="0"/>
      <w:ind w:left="1320"/>
    </w:pPr>
    <w:rPr>
      <w:rFonts w:cstheme="minorHAnsi"/>
      <w:sz w:val="20"/>
      <w:szCs w:val="20"/>
    </w:rPr>
  </w:style>
  <w:style w:type="paragraph" w:styleId="TOC8">
    <w:name w:val="toc 8"/>
    <w:basedOn w:val="Normal"/>
    <w:next w:val="Normal"/>
    <w:autoRedefine/>
    <w:uiPriority w:val="39"/>
    <w:semiHidden/>
    <w:unhideWhenUsed/>
    <w:rsid w:val="005F7F0D"/>
    <w:pPr>
      <w:spacing w:after="0"/>
      <w:ind w:left="1540"/>
    </w:pPr>
    <w:rPr>
      <w:rFonts w:cstheme="minorHAnsi"/>
      <w:sz w:val="20"/>
      <w:szCs w:val="20"/>
    </w:rPr>
  </w:style>
  <w:style w:type="paragraph" w:styleId="TOC9">
    <w:name w:val="toc 9"/>
    <w:basedOn w:val="Normal"/>
    <w:next w:val="Normal"/>
    <w:autoRedefine/>
    <w:uiPriority w:val="39"/>
    <w:semiHidden/>
    <w:unhideWhenUsed/>
    <w:rsid w:val="005F7F0D"/>
    <w:pPr>
      <w:spacing w:after="0"/>
      <w:ind w:left="1760"/>
    </w:pPr>
    <w:rPr>
      <w:rFonts w:cstheme="minorHAnsi"/>
      <w:sz w:val="20"/>
      <w:szCs w:val="20"/>
    </w:rPr>
  </w:style>
  <w:style w:type="paragraph" w:styleId="NormalWeb">
    <w:name w:val="Normal (Web)"/>
    <w:basedOn w:val="Normal"/>
    <w:uiPriority w:val="99"/>
    <w:semiHidden/>
    <w:unhideWhenUsed/>
    <w:rsid w:val="005F7F0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F7F0D"/>
    <w:rPr>
      <w:color w:val="808080"/>
      <w:shd w:val="clear" w:color="auto" w:fill="E6E6E6"/>
    </w:rPr>
  </w:style>
  <w:style w:type="character" w:styleId="FollowedHyperlink">
    <w:name w:val="FollowedHyperlink"/>
    <w:basedOn w:val="DefaultParagraphFont"/>
    <w:uiPriority w:val="99"/>
    <w:semiHidden/>
    <w:unhideWhenUsed/>
    <w:rsid w:val="005F7F0D"/>
    <w:rPr>
      <w:color w:val="954F72" w:themeColor="followedHyperlink"/>
      <w:u w:val="single"/>
    </w:rPr>
  </w:style>
  <w:style w:type="character" w:customStyle="1" w:styleId="Heading4Char">
    <w:name w:val="Heading 4 Char"/>
    <w:basedOn w:val="DefaultParagraphFont"/>
    <w:link w:val="Heading4"/>
    <w:uiPriority w:val="9"/>
    <w:semiHidden/>
    <w:rsid w:val="001B46E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1B46E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1B46E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1B46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46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B46EC"/>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1B46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chapter/10.1057/9781137378446_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cl.ac.uk/sspp/departments/warstudies/research/groups/csss/pubs/1540-report-final.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aea.org" TargetMode="External"/><Relationship Id="rId1" Type="http://schemas.openxmlformats.org/officeDocument/2006/relationships/hyperlink" Target="http://www.kcl.ac.uk/sspp/departments/warstudies/research/groups/csss/pubs/1540-repor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468D-29FF-4A45-B239-0DCFDE8E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7545</Words>
  <Characters>43007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Ruechardt, Felix</dc:creator>
  <cp:keywords/>
  <dc:description/>
  <cp:lastModifiedBy>Kamen Velichkov</cp:lastModifiedBy>
  <cp:revision>2</cp:revision>
  <cp:lastPrinted>2018-04-18T06:53:00Z</cp:lastPrinted>
  <dcterms:created xsi:type="dcterms:W3CDTF">2018-05-20T05:35:00Z</dcterms:created>
  <dcterms:modified xsi:type="dcterms:W3CDTF">2018-05-20T05:35:00Z</dcterms:modified>
</cp:coreProperties>
</file>